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C12950">
            <w:pPr>
              <w:ind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22046629" w:rsidR="00C12950" w:rsidRDefault="007B72D5" w:rsidP="00CB70B1">
            <w:pPr>
              <w:ind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2</w:t>
            </w:r>
            <w:r w:rsidR="00463561">
              <w:rPr>
                <w:rFonts w:ascii="Helvetica" w:hAnsi="Helvetica"/>
                <w:sz w:val="14"/>
              </w:rPr>
              <w:t xml:space="preserve"> agosto</w:t>
            </w:r>
            <w:r w:rsidR="007443A2">
              <w:rPr>
                <w:rFonts w:ascii="Helvetica" w:hAnsi="Helvetica"/>
                <w:sz w:val="14"/>
              </w:rPr>
              <w:t xml:space="preserve"> 201</w:t>
            </w:r>
            <w:r w:rsidR="00F30178">
              <w:rPr>
                <w:rFonts w:ascii="Helvetica" w:hAnsi="Helvetica"/>
                <w:sz w:val="14"/>
              </w:rPr>
              <w:t>9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AA14F9D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389224E" w14:textId="77777777" w:rsidR="001D79A8" w:rsidRPr="00B33B4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284CA593" w14:textId="344CCDFB" w:rsidR="00463561" w:rsidRDefault="00463561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IL SECONDO TRIMESTRE PER LE TECNOLOGIE DEL LEGNO-MOBILE</w:t>
      </w:r>
      <w:r w:rsidR="003D3CCC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6068C9A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7E7FA7" w14:textId="77777777" w:rsidR="001D79A8" w:rsidRPr="001E6154" w:rsidRDefault="001D79A8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6B9E24B" w14:textId="33489868" w:rsidR="00932BC6" w:rsidRDefault="001E6154" w:rsidP="009C5B81">
      <w:pPr>
        <w:ind w:left="426"/>
        <w:rPr>
          <w:rFonts w:ascii="Arial" w:hAnsi="Arial"/>
          <w:sz w:val="20"/>
        </w:rPr>
      </w:pPr>
      <w:proofErr w:type="spellStart"/>
      <w:r w:rsidRPr="001E6154">
        <w:rPr>
          <w:rFonts w:ascii="Arial" w:hAnsi="Arial"/>
          <w:sz w:val="20"/>
        </w:rPr>
        <w:t>Acimall</w:t>
      </w:r>
      <w:proofErr w:type="spellEnd"/>
      <w:r w:rsidR="00463561">
        <w:rPr>
          <w:rFonts w:ascii="Arial" w:hAnsi="Arial"/>
          <w:sz w:val="20"/>
        </w:rPr>
        <w:t xml:space="preserve"> rende noto i risultati dalla abituale </w:t>
      </w:r>
      <w:r w:rsidR="00463561" w:rsidRPr="006826C3">
        <w:rPr>
          <w:rFonts w:ascii="Arial" w:hAnsi="Arial"/>
          <w:b/>
          <w:sz w:val="20"/>
        </w:rPr>
        <w:t>analisi congiunturale trimestrale</w:t>
      </w:r>
      <w:r w:rsidR="00463561">
        <w:rPr>
          <w:rFonts w:ascii="Arial" w:hAnsi="Arial"/>
          <w:sz w:val="20"/>
        </w:rPr>
        <w:t>, dedicata al periodo aprile</w:t>
      </w:r>
      <w:r w:rsidR="006826C3">
        <w:rPr>
          <w:rFonts w:ascii="Arial" w:hAnsi="Arial"/>
          <w:sz w:val="20"/>
        </w:rPr>
        <w:t>-giugno 2019</w:t>
      </w:r>
      <w:r w:rsidR="00463561">
        <w:rPr>
          <w:rFonts w:ascii="Arial" w:hAnsi="Arial"/>
          <w:sz w:val="20"/>
        </w:rPr>
        <w:t>, dal</w:t>
      </w:r>
      <w:r w:rsidR="006826C3">
        <w:rPr>
          <w:rFonts w:ascii="Arial" w:hAnsi="Arial"/>
          <w:sz w:val="20"/>
        </w:rPr>
        <w:t>la quale emerge con chiarezza l</w:t>
      </w:r>
      <w:r w:rsidR="00463561">
        <w:rPr>
          <w:rFonts w:ascii="Arial" w:hAnsi="Arial"/>
          <w:sz w:val="20"/>
        </w:rPr>
        <w:t xml:space="preserve">a conferma dei trend ormai noti: il mercato domestico, passata </w:t>
      </w:r>
      <w:r w:rsidR="00932BC6">
        <w:rPr>
          <w:rFonts w:ascii="Arial" w:hAnsi="Arial"/>
          <w:sz w:val="20"/>
        </w:rPr>
        <w:t>la “febbre da agevolazioni” legata alle varie disposizioni in tema di ammortamenti ma soprattutto a “industria 4.0”, torna a livelli “normali” Ovviamente in</w:t>
      </w:r>
      <w:r w:rsidR="006826C3">
        <w:rPr>
          <w:rFonts w:ascii="Arial" w:hAnsi="Arial"/>
          <w:sz w:val="20"/>
        </w:rPr>
        <w:t xml:space="preserve"> </w:t>
      </w:r>
      <w:r w:rsidR="00932BC6">
        <w:rPr>
          <w:rFonts w:ascii="Arial" w:hAnsi="Arial"/>
          <w:sz w:val="20"/>
        </w:rPr>
        <w:t>attesa di vedere quali esiti potr</w:t>
      </w:r>
      <w:r w:rsidR="00B9584F">
        <w:rPr>
          <w:rFonts w:ascii="Arial" w:hAnsi="Arial"/>
          <w:sz w:val="20"/>
        </w:rPr>
        <w:t>anno</w:t>
      </w:r>
      <w:r w:rsidR="00932BC6">
        <w:rPr>
          <w:rFonts w:ascii="Arial" w:hAnsi="Arial"/>
          <w:sz w:val="20"/>
        </w:rPr>
        <w:t xml:space="preserve"> avere il “Decreto Crescita” e le misure a favore delle piccole e medie imprese che contiene…</w:t>
      </w:r>
    </w:p>
    <w:p w14:paraId="74234B20" w14:textId="15693F05" w:rsidR="00932BC6" w:rsidRDefault="00932BC6" w:rsidP="009C5B81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 contrazione si avverte anche </w:t>
      </w:r>
      <w:r w:rsidR="006826C3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elle esportazioni, condizionate dalla </w:t>
      </w:r>
      <w:r w:rsidR="006826C3">
        <w:rPr>
          <w:rFonts w:ascii="Arial" w:hAnsi="Arial"/>
          <w:sz w:val="20"/>
        </w:rPr>
        <w:t>stagnazione</w:t>
      </w:r>
      <w:r>
        <w:rPr>
          <w:rFonts w:ascii="Arial" w:hAnsi="Arial"/>
          <w:sz w:val="20"/>
        </w:rPr>
        <w:t xml:space="preserve"> della economia tedesca e dalle note, altalenanti vicende </w:t>
      </w:r>
      <w:r w:rsidR="006826C3">
        <w:rPr>
          <w:rFonts w:ascii="Arial" w:hAnsi="Arial"/>
          <w:sz w:val="20"/>
        </w:rPr>
        <w:t>nei</w:t>
      </w:r>
      <w:r>
        <w:rPr>
          <w:rFonts w:ascii="Arial" w:hAnsi="Arial"/>
          <w:sz w:val="20"/>
        </w:rPr>
        <w:t xml:space="preserve"> rapporti economici fra Cina e Stati Uniti.</w:t>
      </w:r>
    </w:p>
    <w:p w14:paraId="48B78EBB" w14:textId="77777777" w:rsidR="00932BC6" w:rsidRDefault="00932BC6" w:rsidP="009C5B81">
      <w:pPr>
        <w:ind w:left="426"/>
        <w:rPr>
          <w:rFonts w:ascii="Arial" w:hAnsi="Arial"/>
          <w:sz w:val="20"/>
        </w:rPr>
      </w:pPr>
    </w:p>
    <w:p w14:paraId="1EC7E69A" w14:textId="20FAA8FB" w:rsidR="009C5B81" w:rsidRDefault="00932BC6" w:rsidP="006826C3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 cifre parlano chiaro: secondo la consueta indagine curata dall’Ufficio studi di </w:t>
      </w:r>
      <w:proofErr w:type="spellStart"/>
      <w:r>
        <w:rPr>
          <w:rFonts w:ascii="Arial" w:hAnsi="Arial"/>
          <w:sz w:val="20"/>
        </w:rPr>
        <w:t>Acimall</w:t>
      </w:r>
      <w:proofErr w:type="spellEnd"/>
      <w:r>
        <w:rPr>
          <w:rFonts w:ascii="Arial" w:hAnsi="Arial"/>
          <w:sz w:val="20"/>
        </w:rPr>
        <w:t xml:space="preserve"> – l’associazione confindustriale che rappresenta il settore – gli </w:t>
      </w:r>
      <w:r w:rsidRPr="006826C3">
        <w:rPr>
          <w:rFonts w:ascii="Arial" w:hAnsi="Arial"/>
          <w:b/>
          <w:sz w:val="20"/>
        </w:rPr>
        <w:t>ordini</w:t>
      </w:r>
      <w:r>
        <w:rPr>
          <w:rFonts w:ascii="Arial" w:hAnsi="Arial"/>
          <w:sz w:val="20"/>
        </w:rPr>
        <w:t xml:space="preserve"> di macchine e attrezzature per l’industria del legno e la produzione di mobili s</w:t>
      </w:r>
      <w:r w:rsidR="001B57D7">
        <w:rPr>
          <w:rFonts w:ascii="Arial" w:hAnsi="Arial"/>
          <w:sz w:val="20"/>
        </w:rPr>
        <w:t>egna</w:t>
      </w:r>
      <w:r w:rsidR="006826C3">
        <w:rPr>
          <w:rFonts w:ascii="Arial" w:hAnsi="Arial"/>
          <w:sz w:val="20"/>
        </w:rPr>
        <w:t>no</w:t>
      </w:r>
      <w:r w:rsidR="001B57D7">
        <w:rPr>
          <w:rFonts w:ascii="Arial" w:hAnsi="Arial"/>
          <w:sz w:val="20"/>
        </w:rPr>
        <w:t xml:space="preserve"> il 14,4 per cento in m</w:t>
      </w:r>
      <w:r w:rsidR="003B059D">
        <w:rPr>
          <w:rFonts w:ascii="Arial" w:hAnsi="Arial"/>
          <w:sz w:val="20"/>
        </w:rPr>
        <w:t>e</w:t>
      </w:r>
      <w:r w:rsidR="001B57D7">
        <w:rPr>
          <w:rFonts w:ascii="Arial" w:hAnsi="Arial"/>
          <w:sz w:val="20"/>
        </w:rPr>
        <w:t>no rispetto allo stesso trimestre 2018.</w:t>
      </w:r>
      <w:r w:rsidR="006826C3">
        <w:rPr>
          <w:rFonts w:ascii="Arial" w:hAnsi="Arial"/>
          <w:sz w:val="20"/>
        </w:rPr>
        <w:t xml:space="preserve"> </w:t>
      </w:r>
      <w:r w:rsidR="001B57D7">
        <w:rPr>
          <w:rFonts w:ascii="Arial" w:hAnsi="Arial"/>
          <w:sz w:val="20"/>
        </w:rPr>
        <w:t>Cala, come dicevamo, la domanda estera (meno 7,1 per cento</w:t>
      </w:r>
      <w:r w:rsidR="006826C3">
        <w:rPr>
          <w:rFonts w:ascii="Arial" w:hAnsi="Arial"/>
          <w:sz w:val="20"/>
        </w:rPr>
        <w:t>; era il meno 10,</w:t>
      </w:r>
      <w:r w:rsidR="001956B8">
        <w:rPr>
          <w:rFonts w:ascii="Arial" w:hAnsi="Arial"/>
          <w:sz w:val="20"/>
        </w:rPr>
        <w:t>2 nel trimestre precedente</w:t>
      </w:r>
      <w:r w:rsidR="001B57D7">
        <w:rPr>
          <w:rFonts w:ascii="Arial" w:hAnsi="Arial"/>
          <w:sz w:val="20"/>
        </w:rPr>
        <w:t>)</w:t>
      </w:r>
      <w:r w:rsidR="001956B8">
        <w:rPr>
          <w:rFonts w:ascii="Arial" w:hAnsi="Arial"/>
          <w:sz w:val="20"/>
        </w:rPr>
        <w:t xml:space="preserve"> e ancora di più quella nazionale (meno 36,3 per cento</w:t>
      </w:r>
      <w:r w:rsidR="006826C3">
        <w:rPr>
          <w:rFonts w:ascii="Arial" w:hAnsi="Arial"/>
          <w:sz w:val="20"/>
        </w:rPr>
        <w:t>;</w:t>
      </w:r>
      <w:r w:rsidR="001956B8">
        <w:rPr>
          <w:rFonts w:ascii="Arial" w:hAnsi="Arial"/>
          <w:sz w:val="20"/>
        </w:rPr>
        <w:t xml:space="preserve"> meno 14,5 nel gennaio-marzo 2019).</w:t>
      </w:r>
    </w:p>
    <w:p w14:paraId="1A5F9F08" w14:textId="77777777" w:rsidR="001956B8" w:rsidRPr="001956B8" w:rsidRDefault="001956B8" w:rsidP="009C5B81">
      <w:pPr>
        <w:ind w:left="426"/>
        <w:rPr>
          <w:rFonts w:ascii="Arial" w:hAnsi="Arial"/>
          <w:color w:val="000000" w:themeColor="text1"/>
          <w:sz w:val="20"/>
        </w:rPr>
      </w:pPr>
    </w:p>
    <w:p w14:paraId="71BF585C" w14:textId="50453E83" w:rsidR="001956B8" w:rsidRPr="001956B8" w:rsidRDefault="001956B8" w:rsidP="001956B8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  <w:lang w:val="en-US"/>
        </w:rPr>
      </w:pPr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Il </w:t>
      </w:r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 xml:space="preserve">carnet </w:t>
      </w:r>
      <w:proofErr w:type="spellStart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>ordini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è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pari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a 2,8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mesi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US"/>
        </w:rPr>
        <w:t>(</w:t>
      </w:r>
      <w:proofErr w:type="spellStart"/>
      <w:r>
        <w:rPr>
          <w:rFonts w:ascii="Arial" w:hAnsi="Arial" w:cs="Arial"/>
          <w:color w:val="000000" w:themeColor="text1"/>
          <w:sz w:val="20"/>
          <w:lang w:val="en-US"/>
        </w:rPr>
        <w:t>erano</w:t>
      </w:r>
      <w:proofErr w:type="spellEnd"/>
      <w:r>
        <w:rPr>
          <w:rFonts w:ascii="Arial" w:hAnsi="Arial" w:cs="Arial"/>
          <w:color w:val="000000" w:themeColor="text1"/>
          <w:sz w:val="20"/>
          <w:lang w:val="en-US"/>
        </w:rPr>
        <w:t xml:space="preserve"> 3,7 a fine </w:t>
      </w:r>
      <w:proofErr w:type="spellStart"/>
      <w:r>
        <w:rPr>
          <w:rFonts w:ascii="Arial" w:hAnsi="Arial" w:cs="Arial"/>
          <w:color w:val="000000" w:themeColor="text1"/>
          <w:sz w:val="20"/>
          <w:lang w:val="en-US"/>
        </w:rPr>
        <w:t>marzo</w:t>
      </w:r>
      <w:proofErr w:type="spellEnd"/>
      <w:r>
        <w:rPr>
          <w:rFonts w:ascii="Arial" w:hAnsi="Arial" w:cs="Arial"/>
          <w:color w:val="000000" w:themeColor="text1"/>
          <w:sz w:val="20"/>
          <w:lang w:val="en-US"/>
        </w:rPr>
        <w:t xml:space="preserve">) </w:t>
      </w:r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e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dall’inizio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dell’anno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si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evidenzia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un </w:t>
      </w:r>
      <w:proofErr w:type="spellStart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>aumento</w:t>
      </w:r>
      <w:proofErr w:type="spellEnd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>dei</w:t>
      </w:r>
      <w:proofErr w:type="spellEnd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>prezzi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dell’</w:t>
      </w:r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1,2 per cento.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Anche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per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questo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trimestre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, come per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precedente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>fatturato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è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comunque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in</w:t>
      </w:r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controtendenza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rispetto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agli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ordini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e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mostra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una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crescita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del 3,3 per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(era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però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del 10,3 per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nel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period</w:t>
      </w:r>
      <w:r w:rsidR="006826C3">
        <w:rPr>
          <w:rFonts w:ascii="Arial" w:hAnsi="Arial" w:cs="Arial"/>
          <w:color w:val="000000" w:themeColor="text1"/>
          <w:sz w:val="20"/>
          <w:lang w:val="en-US"/>
        </w:rPr>
        <w:t>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gennaio-marzo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2019). </w:t>
      </w:r>
    </w:p>
    <w:p w14:paraId="54ADBC01" w14:textId="77777777" w:rsidR="001956B8" w:rsidRPr="001956B8" w:rsidRDefault="001956B8" w:rsidP="001956B8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2E0651FA" w14:textId="65191D92" w:rsidR="001956B8" w:rsidRPr="00A76779" w:rsidRDefault="001956B8" w:rsidP="001956B8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  <w:lang w:val="en-US"/>
        </w:rPr>
      </w:pP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L’</w:t>
      </w:r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>indagine</w:t>
      </w:r>
      <w:proofErr w:type="spellEnd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>qualitativa</w:t>
      </w:r>
      <w:proofErr w:type="spellEnd"/>
      <w:r w:rsidRPr="001956B8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sul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secondo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trimestre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2019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racconta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che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12 per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degli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intervistati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prevede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un trend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della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produzione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positiv</w:t>
      </w:r>
      <w:r w:rsidR="006826C3">
        <w:rPr>
          <w:rFonts w:ascii="Arial" w:hAnsi="Arial" w:cs="Arial"/>
          <w:color w:val="000000" w:themeColor="text1"/>
          <w:sz w:val="20"/>
          <w:lang w:val="en-US"/>
        </w:rPr>
        <w:t>a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(era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7 per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nel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trimestre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precedente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),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47 per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propende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per una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situazione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stazionaria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(era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60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tre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mesi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prima)</w:t>
      </w:r>
      <w:r w:rsidR="006826C3">
        <w:rPr>
          <w:rFonts w:ascii="Arial" w:hAnsi="Arial" w:cs="Arial"/>
          <w:color w:val="000000" w:themeColor="text1"/>
          <w:sz w:val="20"/>
          <w:lang w:val="en-US"/>
        </w:rPr>
        <w:t>,</w:t>
      </w:r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mentre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41 per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crede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in una </w:t>
      </w:r>
      <w:proofErr w:type="spellStart"/>
      <w:r w:rsidRPr="001956B8">
        <w:rPr>
          <w:rFonts w:ascii="Arial" w:hAnsi="Arial" w:cs="Arial"/>
          <w:color w:val="000000" w:themeColor="text1"/>
          <w:sz w:val="20"/>
          <w:lang w:val="en-US"/>
        </w:rPr>
        <w:t>flessione</w:t>
      </w:r>
      <w:proofErr w:type="spellEnd"/>
      <w:r w:rsidRPr="001956B8">
        <w:rPr>
          <w:rFonts w:ascii="Arial" w:hAnsi="Arial" w:cs="Arial"/>
          <w:color w:val="000000" w:themeColor="text1"/>
          <w:sz w:val="20"/>
          <w:lang w:val="en-US"/>
        </w:rPr>
        <w:t xml:space="preserve"> (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erano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33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lo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scorso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trimestre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). </w:t>
      </w:r>
    </w:p>
    <w:p w14:paraId="307D0927" w14:textId="77777777" w:rsidR="001956B8" w:rsidRPr="00A76779" w:rsidRDefault="001956B8" w:rsidP="001956B8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61F3ADB3" w14:textId="161E1064" w:rsidR="001956B8" w:rsidRPr="00A76779" w:rsidRDefault="001956B8" w:rsidP="001956B8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  <w:lang w:val="en-US"/>
        </w:rPr>
      </w:pPr>
      <w:proofErr w:type="spellStart"/>
      <w:r w:rsidRPr="00A76779">
        <w:rPr>
          <w:rFonts w:ascii="Arial" w:hAnsi="Arial" w:cs="Arial"/>
          <w:b/>
          <w:color w:val="000000" w:themeColor="text1"/>
          <w:sz w:val="20"/>
          <w:lang w:val="en-US"/>
        </w:rPr>
        <w:t>Occupazione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stabile secondo l’82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del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campione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, in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aumento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per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6</w:t>
      </w:r>
      <w:r w:rsidRPr="00A76779">
        <w:rPr>
          <w:rFonts w:ascii="Arial" w:hAnsi="Arial" w:cs="Arial"/>
          <w:color w:val="000000" w:themeColor="text1"/>
          <w:sz w:val="20"/>
          <w:lang w:val="en-US"/>
        </w:rPr>
        <w:t>, in</w:t>
      </w:r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calo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pe</w:t>
      </w:r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12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proofErr w:type="spellStart"/>
      <w:r w:rsidRPr="00A76779">
        <w:rPr>
          <w:rFonts w:ascii="Arial" w:hAnsi="Arial" w:cs="Arial"/>
          <w:b/>
          <w:color w:val="000000" w:themeColor="text1"/>
          <w:sz w:val="20"/>
          <w:lang w:val="en-US"/>
        </w:rPr>
        <w:t>Giacenze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stabili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nel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65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dei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casi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, in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aumento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1</w:t>
      </w:r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8,</w:t>
      </w:r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in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flessione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nel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rimanente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1</w:t>
      </w:r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7 per cento. </w:t>
      </w:r>
    </w:p>
    <w:p w14:paraId="5C5B8484" w14:textId="77777777" w:rsidR="001956B8" w:rsidRPr="00A76779" w:rsidRDefault="001956B8" w:rsidP="001956B8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435D2472" w14:textId="4B31652C" w:rsidR="006826C3" w:rsidRDefault="001956B8" w:rsidP="00A76779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  <w:lang w:val="en-US"/>
        </w:rPr>
      </w:pP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L’</w:t>
      </w:r>
      <w:r w:rsidRPr="00A76779">
        <w:rPr>
          <w:rFonts w:ascii="Arial" w:hAnsi="Arial" w:cs="Arial"/>
          <w:b/>
          <w:bCs/>
          <w:color w:val="000000" w:themeColor="text1"/>
          <w:sz w:val="20"/>
          <w:lang w:val="en-US"/>
        </w:rPr>
        <w:t>indagine</w:t>
      </w:r>
      <w:proofErr w:type="spellEnd"/>
      <w:r w:rsidRPr="00A76779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b/>
          <w:bCs/>
          <w:color w:val="000000" w:themeColor="text1"/>
          <w:sz w:val="20"/>
          <w:lang w:val="en-US"/>
        </w:rPr>
        <w:t>previsionale</w:t>
      </w:r>
      <w:proofErr w:type="spellEnd"/>
      <w:r w:rsidRPr="00A76779">
        <w:rPr>
          <w:rFonts w:ascii="Arial" w:hAnsi="Arial" w:cs="Arial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conferma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clima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di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sfiducia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già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evidenziato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nel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recente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passato</w:t>
      </w:r>
      <w:proofErr w:type="spellEnd"/>
      <w:r w:rsidR="00A76779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proofErr w:type="spellStart"/>
      <w:r w:rsidR="00A76779">
        <w:rPr>
          <w:rFonts w:ascii="Arial" w:hAnsi="Arial" w:cs="Arial"/>
          <w:color w:val="000000" w:themeColor="text1"/>
          <w:sz w:val="20"/>
          <w:lang w:val="en-US"/>
        </w:rPr>
        <w:t>soprattu</w:t>
      </w:r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tto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6826C3">
        <w:rPr>
          <w:rFonts w:ascii="Arial" w:hAnsi="Arial" w:cs="Arial"/>
          <w:color w:val="000000" w:themeColor="text1"/>
          <w:sz w:val="20"/>
          <w:lang w:val="en-US"/>
        </w:rPr>
        <w:t>a causa</w:t>
      </w:r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8C32CC">
        <w:rPr>
          <w:rFonts w:ascii="Arial" w:hAnsi="Arial" w:cs="Arial"/>
          <w:color w:val="000000" w:themeColor="text1"/>
          <w:sz w:val="20"/>
          <w:lang w:val="en-US"/>
        </w:rPr>
        <w:t>della</w:t>
      </w:r>
      <w:proofErr w:type="spellEnd"/>
      <w:r w:rsidR="00A76779" w:rsidRPr="008C32CC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8C32CC">
        <w:rPr>
          <w:rFonts w:ascii="Arial" w:hAnsi="Arial" w:cs="Arial"/>
          <w:color w:val="000000" w:themeColor="text1"/>
          <w:sz w:val="20"/>
          <w:lang w:val="en-US"/>
        </w:rPr>
        <w:t>negativa</w:t>
      </w:r>
      <w:proofErr w:type="spellEnd"/>
      <w:r w:rsidR="008C32CC" w:rsidRPr="008C32CC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8C32CC" w:rsidRPr="008C32CC">
        <w:rPr>
          <w:rFonts w:ascii="Arial" w:hAnsi="Arial" w:cs="Arial"/>
          <w:color w:val="000000" w:themeColor="text1"/>
          <w:sz w:val="20"/>
          <w:lang w:val="en-US"/>
        </w:rPr>
        <w:t>congiuntura</w:t>
      </w:r>
      <w:proofErr w:type="spellEnd"/>
      <w:r w:rsidR="008C32CC" w:rsidRPr="008C32CC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8C32CC">
        <w:rPr>
          <w:rFonts w:ascii="Arial" w:hAnsi="Arial" w:cs="Arial"/>
          <w:color w:val="000000" w:themeColor="text1"/>
          <w:sz w:val="20"/>
          <w:lang w:val="en-US"/>
        </w:rPr>
        <w:t>tedesca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. Il 18 per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degli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intervistati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crede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comunque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che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per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gli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b/>
          <w:color w:val="000000" w:themeColor="text1"/>
          <w:sz w:val="20"/>
          <w:lang w:val="en-US"/>
        </w:rPr>
        <w:t>ordini</w:t>
      </w:r>
      <w:proofErr w:type="spellEnd"/>
      <w:r w:rsidR="00A76779" w:rsidRPr="00A76779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b/>
          <w:color w:val="000000" w:themeColor="text1"/>
          <w:sz w:val="20"/>
          <w:lang w:val="en-US"/>
        </w:rPr>
        <w:t>dall’estero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ci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si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potranno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attendere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buone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notizie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(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gli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ottimisti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erano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“solo”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13 per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lo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scorso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trimestre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),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saranno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stazionari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per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53 per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(60 per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nel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peri</w:t>
      </w:r>
      <w:r w:rsidR="00A76779">
        <w:rPr>
          <w:rFonts w:ascii="Arial" w:hAnsi="Arial" w:cs="Arial"/>
          <w:color w:val="000000" w:themeColor="text1"/>
          <w:sz w:val="20"/>
          <w:lang w:val="en-US"/>
        </w:rPr>
        <w:t>od</w:t>
      </w:r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genna</w:t>
      </w:r>
      <w:r w:rsidR="00A76779">
        <w:rPr>
          <w:rFonts w:ascii="Arial" w:hAnsi="Arial" w:cs="Arial"/>
          <w:color w:val="000000" w:themeColor="text1"/>
          <w:sz w:val="20"/>
          <w:lang w:val="en-US"/>
        </w:rPr>
        <w:t>io-marzo</w:t>
      </w:r>
      <w:proofErr w:type="spellEnd"/>
      <w:r w:rsidR="00A76779">
        <w:rPr>
          <w:rFonts w:ascii="Arial" w:hAnsi="Arial" w:cs="Arial"/>
          <w:color w:val="000000" w:themeColor="text1"/>
          <w:sz w:val="20"/>
          <w:lang w:val="en-US"/>
        </w:rPr>
        <w:t xml:space="preserve"> 2019), in </w:t>
      </w:r>
      <w:proofErr w:type="spellStart"/>
      <w:r w:rsidR="00A76779">
        <w:rPr>
          <w:rFonts w:ascii="Arial" w:hAnsi="Arial" w:cs="Arial"/>
          <w:color w:val="000000" w:themeColor="text1"/>
          <w:sz w:val="20"/>
          <w:lang w:val="en-US"/>
        </w:rPr>
        <w:t>flessione</w:t>
      </w:r>
      <w:proofErr w:type="spellEnd"/>
      <w:r w:rsidR="00A76779">
        <w:rPr>
          <w:rFonts w:ascii="Arial" w:hAnsi="Arial" w:cs="Arial"/>
          <w:color w:val="000000" w:themeColor="text1"/>
          <w:sz w:val="20"/>
          <w:lang w:val="en-US"/>
        </w:rPr>
        <w:t xml:space="preserve"> pe</w:t>
      </w:r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r</w:t>
      </w:r>
      <w:r w:rsid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29 per cento (27 per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tre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>mesi</w:t>
      </w:r>
      <w:proofErr w:type="spellEnd"/>
      <w:r w:rsidR="00A76779" w:rsidRPr="00A76779">
        <w:rPr>
          <w:rFonts w:ascii="Arial" w:hAnsi="Arial" w:cs="Arial"/>
          <w:color w:val="000000" w:themeColor="text1"/>
          <w:sz w:val="20"/>
          <w:lang w:val="en-US"/>
        </w:rPr>
        <w:t xml:space="preserve"> fa).</w:t>
      </w:r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Il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saldo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è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negativo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: </w:t>
      </w:r>
      <w:proofErr w:type="spellStart"/>
      <w:r w:rsidR="006826C3">
        <w:rPr>
          <w:rFonts w:ascii="Arial" w:hAnsi="Arial" w:cs="Arial"/>
          <w:color w:val="000000" w:themeColor="text1"/>
          <w:sz w:val="20"/>
          <w:lang w:val="en-US"/>
        </w:rPr>
        <w:t>meno</w:t>
      </w:r>
      <w:proofErr w:type="spellEnd"/>
      <w:r w:rsidR="006826C3">
        <w:rPr>
          <w:rFonts w:ascii="Arial" w:hAnsi="Arial" w:cs="Arial"/>
          <w:color w:val="000000" w:themeColor="text1"/>
          <w:sz w:val="20"/>
          <w:lang w:val="en-US"/>
        </w:rPr>
        <w:t xml:space="preserve"> 11</w:t>
      </w:r>
      <w:r w:rsidR="00A76779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</w:p>
    <w:p w14:paraId="781C759D" w14:textId="674BF5C4" w:rsidR="00840088" w:rsidRDefault="00A76779" w:rsidP="00A76779">
      <w:pPr>
        <w:widowControl w:val="0"/>
        <w:autoSpaceDE w:val="0"/>
        <w:autoSpaceDN w:val="0"/>
        <w:adjustRightInd w:val="0"/>
        <w:ind w:left="426"/>
        <w:rPr>
          <w:rFonts w:ascii="Arial" w:hAnsi="Arial"/>
          <w:sz w:val="20"/>
        </w:rPr>
      </w:pPr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b/>
          <w:color w:val="000000" w:themeColor="text1"/>
          <w:sz w:val="20"/>
          <w:lang w:val="en-US"/>
        </w:rPr>
        <w:t>mercato</w:t>
      </w:r>
      <w:proofErr w:type="spellEnd"/>
      <w:r w:rsidRPr="00A76779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b/>
          <w:color w:val="000000" w:themeColor="text1"/>
          <w:sz w:val="20"/>
          <w:lang w:val="en-US"/>
        </w:rPr>
        <w:t>nazionale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gli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ottimisti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lang w:val="en-US"/>
        </w:rPr>
        <w:t>son</w:t>
      </w:r>
      <w:r w:rsidRPr="00A76779">
        <w:rPr>
          <w:rFonts w:ascii="Arial" w:hAnsi="Arial" w:cs="Arial"/>
          <w:color w:val="000000" w:themeColor="text1"/>
          <w:sz w:val="20"/>
          <w:lang w:val="en-US"/>
        </w:rPr>
        <w:t>o</w:t>
      </w:r>
      <w:proofErr w:type="spellEnd"/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6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del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campione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, in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linea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con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7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dei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tre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mesi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precedent</w:t>
      </w:r>
      <w:r>
        <w:rPr>
          <w:rFonts w:ascii="Arial" w:hAnsi="Arial" w:cs="Arial"/>
          <w:color w:val="000000" w:themeColor="text1"/>
          <w:sz w:val="20"/>
          <w:lang w:val="en-US"/>
        </w:rPr>
        <w:t>i</w:t>
      </w:r>
      <w:proofErr w:type="spellEnd"/>
      <w:r>
        <w:rPr>
          <w:rFonts w:ascii="Arial" w:hAnsi="Arial" w:cs="Arial"/>
          <w:color w:val="000000" w:themeColor="text1"/>
          <w:sz w:val="20"/>
          <w:lang w:val="en-US"/>
        </w:rPr>
        <w:t>. Pe</w:t>
      </w:r>
      <w:r w:rsidRPr="00A76779">
        <w:rPr>
          <w:rFonts w:ascii="Arial" w:hAnsi="Arial" w:cs="Arial"/>
          <w:color w:val="000000" w:themeColor="text1"/>
          <w:sz w:val="20"/>
          <w:lang w:val="en-US"/>
        </w:rPr>
        <w:t>r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65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dovremo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attenderci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una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sostanziale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stabilità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(60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tre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mesi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fa),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mentre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il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29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prevede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un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calo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(33 per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cento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nel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gennaio-marzo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). Il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saldo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è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negativo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pari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a </w:t>
      </w:r>
      <w:proofErr w:type="spellStart"/>
      <w:r w:rsidRPr="00A76779">
        <w:rPr>
          <w:rFonts w:ascii="Arial" w:hAnsi="Arial" w:cs="Arial"/>
          <w:color w:val="000000" w:themeColor="text1"/>
          <w:sz w:val="20"/>
          <w:lang w:val="en-US"/>
        </w:rPr>
        <w:t>meno</w:t>
      </w:r>
      <w:proofErr w:type="spellEnd"/>
      <w:r w:rsidRPr="00A76779">
        <w:rPr>
          <w:rFonts w:ascii="Arial" w:hAnsi="Arial" w:cs="Arial"/>
          <w:color w:val="000000" w:themeColor="text1"/>
          <w:sz w:val="20"/>
          <w:lang w:val="en-US"/>
        </w:rPr>
        <w:t xml:space="preserve"> 23</w:t>
      </w:r>
      <w:r>
        <w:rPr>
          <w:rFonts w:ascii="Arial" w:hAnsi="Arial" w:cs="Arial"/>
          <w:color w:val="000000" w:themeColor="text1"/>
          <w:sz w:val="20"/>
          <w:lang w:val="en-US"/>
        </w:rPr>
        <w:t>.</w:t>
      </w:r>
    </w:p>
    <w:p w14:paraId="565BEE38" w14:textId="77777777" w:rsidR="001D79A8" w:rsidRDefault="001D79A8" w:rsidP="00A76779">
      <w:pPr>
        <w:jc w:val="both"/>
        <w:rPr>
          <w:rFonts w:ascii="Arial" w:hAnsi="Arial"/>
          <w:sz w:val="20"/>
        </w:rPr>
      </w:pPr>
    </w:p>
    <w:p w14:paraId="1FCEBCF4" w14:textId="77777777" w:rsidR="001D79A8" w:rsidRDefault="001D79A8" w:rsidP="00840088">
      <w:pPr>
        <w:ind w:left="480"/>
        <w:jc w:val="both"/>
        <w:rPr>
          <w:rFonts w:ascii="Arial" w:hAnsi="Arial"/>
          <w:sz w:val="20"/>
        </w:rPr>
      </w:pPr>
    </w:p>
    <w:p w14:paraId="630023C2" w14:textId="77777777" w:rsidR="00A76779" w:rsidRDefault="00A76779" w:rsidP="00840088">
      <w:pPr>
        <w:ind w:left="480"/>
        <w:jc w:val="both"/>
        <w:rPr>
          <w:rFonts w:ascii="Arial" w:hAnsi="Arial"/>
          <w:sz w:val="20"/>
        </w:rPr>
      </w:pPr>
    </w:p>
    <w:p w14:paraId="1EA99C45" w14:textId="77777777" w:rsidR="00840088" w:rsidRPr="003454A2" w:rsidRDefault="00840088" w:rsidP="00840088">
      <w:pPr>
        <w:ind w:left="480"/>
        <w:jc w:val="both"/>
        <w:rPr>
          <w:rFonts w:ascii="Arial" w:hAnsi="Arial"/>
          <w:sz w:val="20"/>
        </w:rPr>
      </w:pPr>
    </w:p>
    <w:p w14:paraId="6BDCCF7E" w14:textId="77777777" w:rsidR="00840088" w:rsidRPr="002F5769" w:rsidRDefault="00840088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2F5769">
        <w:rPr>
          <w:rFonts w:ascii="Arial" w:hAnsi="Arial"/>
          <w:i/>
          <w:sz w:val="20"/>
        </w:rPr>
        <w:t>Per ulteriori informazioni:</w:t>
      </w:r>
    </w:p>
    <w:p w14:paraId="1110F91B" w14:textId="77777777" w:rsidR="00840088" w:rsidRPr="002F5769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2F5769">
        <w:rPr>
          <w:rFonts w:ascii="Arial" w:hAnsi="Arial"/>
          <w:b/>
          <w:sz w:val="20"/>
        </w:rPr>
        <w:t>Luca Rossetti</w:t>
      </w:r>
    </w:p>
    <w:p w14:paraId="64CC9F33" w14:textId="68203D90" w:rsidR="001E6154" w:rsidRPr="006826C3" w:rsidRDefault="00840088" w:rsidP="006826C3">
      <w:pPr>
        <w:tabs>
          <w:tab w:val="left" w:pos="560"/>
        </w:tabs>
        <w:ind w:left="426"/>
        <w:jc w:val="both"/>
        <w:outlineLvl w:val="0"/>
        <w:rPr>
          <w:rFonts w:ascii="Arial" w:hAnsi="Arial"/>
          <w:sz w:val="20"/>
        </w:rPr>
      </w:pPr>
      <w:r w:rsidRPr="008F2D91">
        <w:rPr>
          <w:rFonts w:ascii="Arial" w:hAnsi="Arial"/>
          <w:sz w:val="20"/>
        </w:rPr>
        <w:t xml:space="preserve">+39 329 2197752 - </w:t>
      </w:r>
      <w:hyperlink r:id="rId8" w:history="1">
        <w:r w:rsidRPr="00DB267F">
          <w:rPr>
            <w:rStyle w:val="Collegamentoipertestuale"/>
            <w:rFonts w:ascii="Arial" w:hAnsi="Arial"/>
            <w:sz w:val="20"/>
          </w:rPr>
          <w:t>press@acimall.com</w:t>
        </w:r>
      </w:hyperlink>
    </w:p>
    <w:p w14:paraId="5FE0D79C" w14:textId="68458578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A029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993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605FA" w14:textId="77777777" w:rsidR="00746D68" w:rsidRDefault="00746D68">
      <w:r>
        <w:separator/>
      </w:r>
    </w:p>
  </w:endnote>
  <w:endnote w:type="continuationSeparator" w:id="0">
    <w:p w14:paraId="28F470B3" w14:textId="77777777" w:rsidR="00746D68" w:rsidRDefault="0074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75BF6" w14:textId="77777777" w:rsidR="00A76779" w:rsidRDefault="00A76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A76779" w:rsidRDefault="00A7677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B5DE1" w14:textId="77777777" w:rsidR="00A76779" w:rsidRDefault="00A7677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A76779" w:rsidRDefault="00A76779">
    <w:pPr>
      <w:pStyle w:val="Pidipagina"/>
      <w:ind w:right="360"/>
    </w:pPr>
    <w:r>
      <w:t xml:space="preserve">   </w:t>
    </w:r>
  </w:p>
  <w:p w14:paraId="676EE327" w14:textId="196C1161" w:rsidR="00A76779" w:rsidRDefault="00A7677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B1D6" w14:textId="77777777" w:rsidR="00A76779" w:rsidRDefault="00A7677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4E04" w14:textId="77777777" w:rsidR="00746D68" w:rsidRDefault="00746D68">
      <w:r>
        <w:separator/>
      </w:r>
    </w:p>
  </w:footnote>
  <w:footnote w:type="continuationSeparator" w:id="0">
    <w:p w14:paraId="6490E310" w14:textId="77777777" w:rsidR="00746D68" w:rsidRDefault="0074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E48" w14:textId="6DC56FCB" w:rsidR="00A76779" w:rsidRDefault="00A76779">
    <w:pPr>
      <w:pStyle w:val="Intestazione"/>
      <w:ind w:left="360"/>
    </w:pPr>
  </w:p>
  <w:p w14:paraId="302658E1" w14:textId="77777777" w:rsidR="00A76779" w:rsidRDefault="00A76779">
    <w:pPr>
      <w:pStyle w:val="Intestazione"/>
      <w:ind w:left="360"/>
    </w:pPr>
  </w:p>
  <w:p w14:paraId="4A2C7678" w14:textId="77777777" w:rsidR="00A76779" w:rsidRDefault="00A7677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8B4B7" w14:textId="39D9834C" w:rsidR="00A76779" w:rsidRDefault="00A7677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258BE"/>
    <w:rsid w:val="00130D7E"/>
    <w:rsid w:val="00140D22"/>
    <w:rsid w:val="00142024"/>
    <w:rsid w:val="001702AD"/>
    <w:rsid w:val="0017075B"/>
    <w:rsid w:val="00174464"/>
    <w:rsid w:val="0018053C"/>
    <w:rsid w:val="001812CA"/>
    <w:rsid w:val="00181DE3"/>
    <w:rsid w:val="001956B8"/>
    <w:rsid w:val="001B28A8"/>
    <w:rsid w:val="001B415A"/>
    <w:rsid w:val="001B424B"/>
    <w:rsid w:val="001B57D7"/>
    <w:rsid w:val="001D79A8"/>
    <w:rsid w:val="001E067F"/>
    <w:rsid w:val="001E6154"/>
    <w:rsid w:val="001F51B2"/>
    <w:rsid w:val="00210CF8"/>
    <w:rsid w:val="002178A4"/>
    <w:rsid w:val="00224AB3"/>
    <w:rsid w:val="00232B02"/>
    <w:rsid w:val="00240C64"/>
    <w:rsid w:val="002545BF"/>
    <w:rsid w:val="002632E5"/>
    <w:rsid w:val="002650C8"/>
    <w:rsid w:val="00272082"/>
    <w:rsid w:val="00277B4A"/>
    <w:rsid w:val="00291DE3"/>
    <w:rsid w:val="00294EDD"/>
    <w:rsid w:val="002A753A"/>
    <w:rsid w:val="002F11D9"/>
    <w:rsid w:val="002F5769"/>
    <w:rsid w:val="00304533"/>
    <w:rsid w:val="00307139"/>
    <w:rsid w:val="00313979"/>
    <w:rsid w:val="00326C06"/>
    <w:rsid w:val="0034316E"/>
    <w:rsid w:val="00365C65"/>
    <w:rsid w:val="00366E20"/>
    <w:rsid w:val="00381921"/>
    <w:rsid w:val="003838AD"/>
    <w:rsid w:val="003B059D"/>
    <w:rsid w:val="003B109F"/>
    <w:rsid w:val="003D3CCC"/>
    <w:rsid w:val="0040679A"/>
    <w:rsid w:val="00406AB7"/>
    <w:rsid w:val="00416C21"/>
    <w:rsid w:val="00434C7E"/>
    <w:rsid w:val="00440FDD"/>
    <w:rsid w:val="004525E1"/>
    <w:rsid w:val="00463561"/>
    <w:rsid w:val="00471328"/>
    <w:rsid w:val="004720FA"/>
    <w:rsid w:val="004B3B06"/>
    <w:rsid w:val="004E619F"/>
    <w:rsid w:val="004F1C0F"/>
    <w:rsid w:val="00524EB0"/>
    <w:rsid w:val="00532AB7"/>
    <w:rsid w:val="00536329"/>
    <w:rsid w:val="00553F39"/>
    <w:rsid w:val="00556E60"/>
    <w:rsid w:val="00566630"/>
    <w:rsid w:val="00583DA9"/>
    <w:rsid w:val="00585084"/>
    <w:rsid w:val="005A2C26"/>
    <w:rsid w:val="005C3375"/>
    <w:rsid w:val="005C788E"/>
    <w:rsid w:val="005D4C94"/>
    <w:rsid w:val="005D6503"/>
    <w:rsid w:val="005D7B5B"/>
    <w:rsid w:val="005F5DB2"/>
    <w:rsid w:val="0063567C"/>
    <w:rsid w:val="00671AAE"/>
    <w:rsid w:val="006826C3"/>
    <w:rsid w:val="00683168"/>
    <w:rsid w:val="0069229C"/>
    <w:rsid w:val="006A64E2"/>
    <w:rsid w:val="006B1101"/>
    <w:rsid w:val="006C02B5"/>
    <w:rsid w:val="00705D68"/>
    <w:rsid w:val="007122E6"/>
    <w:rsid w:val="00724BEA"/>
    <w:rsid w:val="00736007"/>
    <w:rsid w:val="007443A2"/>
    <w:rsid w:val="00746D68"/>
    <w:rsid w:val="00760EDC"/>
    <w:rsid w:val="00773075"/>
    <w:rsid w:val="007A6D51"/>
    <w:rsid w:val="007B3109"/>
    <w:rsid w:val="007B4E57"/>
    <w:rsid w:val="007B72D5"/>
    <w:rsid w:val="007E5480"/>
    <w:rsid w:val="0080513A"/>
    <w:rsid w:val="00807D67"/>
    <w:rsid w:val="00840088"/>
    <w:rsid w:val="00840B4A"/>
    <w:rsid w:val="00865C7A"/>
    <w:rsid w:val="0087060B"/>
    <w:rsid w:val="008A5509"/>
    <w:rsid w:val="008C32CC"/>
    <w:rsid w:val="008C3ACA"/>
    <w:rsid w:val="008E5DBF"/>
    <w:rsid w:val="008F01AF"/>
    <w:rsid w:val="00901E8C"/>
    <w:rsid w:val="009024DF"/>
    <w:rsid w:val="00904BBD"/>
    <w:rsid w:val="00905D70"/>
    <w:rsid w:val="009201D1"/>
    <w:rsid w:val="00927BEF"/>
    <w:rsid w:val="00932B59"/>
    <w:rsid w:val="00932BC6"/>
    <w:rsid w:val="00946C6A"/>
    <w:rsid w:val="00960785"/>
    <w:rsid w:val="009703DB"/>
    <w:rsid w:val="00975B1A"/>
    <w:rsid w:val="0097719C"/>
    <w:rsid w:val="00985C7E"/>
    <w:rsid w:val="00990459"/>
    <w:rsid w:val="00991CBC"/>
    <w:rsid w:val="009C5B81"/>
    <w:rsid w:val="009E5E5C"/>
    <w:rsid w:val="00A018A0"/>
    <w:rsid w:val="00A029E7"/>
    <w:rsid w:val="00A108DB"/>
    <w:rsid w:val="00A24050"/>
    <w:rsid w:val="00A2581D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9584F"/>
    <w:rsid w:val="00BC547E"/>
    <w:rsid w:val="00BD40BD"/>
    <w:rsid w:val="00BD4D44"/>
    <w:rsid w:val="00BD4E9A"/>
    <w:rsid w:val="00BF2118"/>
    <w:rsid w:val="00BF35BC"/>
    <w:rsid w:val="00C07008"/>
    <w:rsid w:val="00C10DE6"/>
    <w:rsid w:val="00C12950"/>
    <w:rsid w:val="00C41993"/>
    <w:rsid w:val="00C435AF"/>
    <w:rsid w:val="00C441DA"/>
    <w:rsid w:val="00C54EF3"/>
    <w:rsid w:val="00C639FC"/>
    <w:rsid w:val="00C96A6C"/>
    <w:rsid w:val="00CB70B1"/>
    <w:rsid w:val="00CE7C6D"/>
    <w:rsid w:val="00D04850"/>
    <w:rsid w:val="00D0677A"/>
    <w:rsid w:val="00D16C13"/>
    <w:rsid w:val="00D32BC8"/>
    <w:rsid w:val="00D47E18"/>
    <w:rsid w:val="00D7134F"/>
    <w:rsid w:val="00D91B3F"/>
    <w:rsid w:val="00DB7438"/>
    <w:rsid w:val="00DC53CF"/>
    <w:rsid w:val="00DE3DFA"/>
    <w:rsid w:val="00E04E31"/>
    <w:rsid w:val="00E2671D"/>
    <w:rsid w:val="00E26F68"/>
    <w:rsid w:val="00E60591"/>
    <w:rsid w:val="00E655B9"/>
    <w:rsid w:val="00F00863"/>
    <w:rsid w:val="00F15D95"/>
    <w:rsid w:val="00F30178"/>
    <w:rsid w:val="00F3539D"/>
    <w:rsid w:val="00F379D8"/>
    <w:rsid w:val="00F76DF4"/>
    <w:rsid w:val="00FD043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5EAFF323-3622-4865-B255-5C62B9CF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3357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2019-08-02T13:00:00Z</cp:lastPrinted>
  <dcterms:created xsi:type="dcterms:W3CDTF">2019-08-02T13:45:00Z</dcterms:created>
  <dcterms:modified xsi:type="dcterms:W3CDTF">2019-08-02T13:45:00Z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