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proofErr w:type="spellStart"/>
            <w:proofErr w:type="gramStart"/>
            <w:r>
              <w:rPr>
                <w:rFonts w:ascii="Helvetica" w:hAnsi="Helvetica"/>
                <w:sz w:val="16"/>
              </w:rPr>
              <w:t>phone</w:t>
            </w:r>
            <w:proofErr w:type="spellEnd"/>
            <w:proofErr w:type="gramEnd"/>
            <w:r>
              <w:rPr>
                <w:rFonts w:ascii="Helvetica" w:hAnsi="Helvetica"/>
                <w:sz w:val="16"/>
              </w:rPr>
              <w:t xml:space="preserve">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proofErr w:type="gramStart"/>
            <w:r>
              <w:rPr>
                <w:rFonts w:ascii="Helvetica" w:hAnsi="Helvetica"/>
                <w:sz w:val="16"/>
              </w:rPr>
              <w:t>www.acimall.com</w:t>
            </w:r>
            <w:proofErr w:type="gramEnd"/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Pr="00376C83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2F6F345E" w:rsidR="00C12950" w:rsidRPr="004C4277" w:rsidRDefault="00376C83" w:rsidP="009B47DD">
            <w:pPr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 w:rsidRPr="00376C83"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9B47DD"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maggio 2023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8570D7">
      <w:pPr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2F2963" w:rsidRDefault="001670C8" w:rsidP="00A76779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5F56B7D2" w:rsidR="00F7011C" w:rsidRPr="002F2963" w:rsidRDefault="008F4FEF" w:rsidP="00F7011C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2F2963">
        <w:rPr>
          <w:rFonts w:ascii="Arial" w:hAnsi="Arial" w:cs="Arial"/>
          <w:b/>
          <w:color w:val="000000" w:themeColor="text1"/>
          <w:sz w:val="20"/>
        </w:rPr>
        <w:t xml:space="preserve">TECNOLOGIE PER IL LEGNO: </w:t>
      </w:r>
      <w:r w:rsidR="00D0397B" w:rsidRPr="002F2963">
        <w:rPr>
          <w:rFonts w:ascii="Arial" w:hAnsi="Arial" w:cs="Arial"/>
          <w:b/>
          <w:color w:val="000000" w:themeColor="text1"/>
          <w:sz w:val="20"/>
        </w:rPr>
        <w:t>UN</w:t>
      </w:r>
      <w:r w:rsidR="000E4BEE" w:rsidRPr="002F2963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F7011C" w:rsidRPr="002F2963">
        <w:rPr>
          <w:rFonts w:ascii="Arial" w:hAnsi="Arial" w:cs="Arial"/>
          <w:b/>
          <w:color w:val="000000" w:themeColor="text1"/>
          <w:sz w:val="20"/>
        </w:rPr>
        <w:t>RITORNO ALLA "NORMALITÀ"?</w:t>
      </w:r>
      <w:r w:rsidR="00B10EE6" w:rsidRPr="002F2963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762E78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49FB9B9" w14:textId="77777777" w:rsidR="00F7011C" w:rsidRPr="002F2963" w:rsidRDefault="00F7011C" w:rsidP="00F7011C">
      <w:pPr>
        <w:rPr>
          <w:rFonts w:ascii="Arial" w:hAnsi="Arial" w:cs="Arial"/>
          <w:color w:val="000000" w:themeColor="text1"/>
          <w:sz w:val="20"/>
        </w:rPr>
      </w:pPr>
    </w:p>
    <w:p w14:paraId="388FCD1B" w14:textId="18DB41EC" w:rsidR="00423CEB" w:rsidRPr="002F2963" w:rsidRDefault="00F7011C" w:rsidP="00423CEB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color w:val="000000" w:themeColor="text1"/>
          <w:sz w:val="20"/>
        </w:rPr>
        <w:t xml:space="preserve">Il </w:t>
      </w:r>
      <w:r w:rsidRPr="002F2963">
        <w:rPr>
          <w:rFonts w:ascii="Arial" w:hAnsi="Arial" w:cs="Arial"/>
          <w:b/>
          <w:bCs/>
          <w:color w:val="000000" w:themeColor="text1"/>
          <w:sz w:val="20"/>
        </w:rPr>
        <w:t>primo trimestre 2023</w:t>
      </w:r>
      <w:r w:rsidRPr="002F2963">
        <w:rPr>
          <w:rFonts w:ascii="Arial" w:hAnsi="Arial" w:cs="Arial"/>
          <w:color w:val="000000" w:themeColor="text1"/>
          <w:sz w:val="20"/>
        </w:rPr>
        <w:t xml:space="preserve"> conferma il </w:t>
      </w:r>
      <w:r w:rsidRPr="002F2963">
        <w:rPr>
          <w:rFonts w:ascii="Arial" w:hAnsi="Arial" w:cs="Arial"/>
          <w:b/>
          <w:bCs/>
          <w:color w:val="000000" w:themeColor="text1"/>
          <w:sz w:val="20"/>
        </w:rPr>
        <w:t>rallentamento degli ordini</w:t>
      </w:r>
      <w:r w:rsidRPr="002F2963">
        <w:rPr>
          <w:rFonts w:ascii="Arial" w:hAnsi="Arial" w:cs="Arial"/>
          <w:color w:val="000000" w:themeColor="text1"/>
          <w:sz w:val="20"/>
        </w:rPr>
        <w:t xml:space="preserve"> per le tecnologie italiane dedicate alla lavorazione del legno e all'indu</w:t>
      </w:r>
      <w:r w:rsidR="0086642A" w:rsidRPr="002F2963">
        <w:rPr>
          <w:rFonts w:ascii="Arial" w:hAnsi="Arial" w:cs="Arial"/>
          <w:color w:val="000000" w:themeColor="text1"/>
          <w:sz w:val="20"/>
        </w:rPr>
        <w:t>st</w:t>
      </w:r>
      <w:r w:rsidRPr="002F2963">
        <w:rPr>
          <w:rFonts w:ascii="Arial" w:hAnsi="Arial" w:cs="Arial"/>
          <w:color w:val="000000" w:themeColor="text1"/>
          <w:sz w:val="20"/>
        </w:rPr>
        <w:t xml:space="preserve">ria del mobile. L’indagine trimestrale realizzata dall’Ufficio studi di </w:t>
      </w:r>
      <w:proofErr w:type="spellStart"/>
      <w:r w:rsidRPr="002F2963">
        <w:rPr>
          <w:rFonts w:ascii="Arial" w:hAnsi="Arial" w:cs="Arial"/>
          <w:b/>
          <w:bCs/>
          <w:color w:val="000000" w:themeColor="text1"/>
          <w:sz w:val="20"/>
        </w:rPr>
        <w:t>Acimall</w:t>
      </w:r>
      <w:proofErr w:type="spellEnd"/>
      <w:r w:rsidR="009720DF" w:rsidRPr="002F2963">
        <w:rPr>
          <w:rFonts w:ascii="Arial" w:hAnsi="Arial" w:cs="Arial"/>
          <w:color w:val="000000" w:themeColor="text1"/>
          <w:sz w:val="20"/>
        </w:rPr>
        <w:t>,</w:t>
      </w:r>
      <w:r w:rsidRPr="002F2963">
        <w:rPr>
          <w:rFonts w:ascii="Arial" w:hAnsi="Arial" w:cs="Arial"/>
          <w:color w:val="000000" w:themeColor="text1"/>
          <w:sz w:val="20"/>
        </w:rPr>
        <w:t xml:space="preserve"> l’associazione che riunisce i costruttori del settore</w:t>
      </w:r>
      <w:r w:rsidR="009B47DD">
        <w:rPr>
          <w:rFonts w:ascii="Arial" w:hAnsi="Arial" w:cs="Arial"/>
          <w:color w:val="000000" w:themeColor="text1"/>
          <w:sz w:val="20"/>
        </w:rPr>
        <w:t xml:space="preserve"> </w:t>
      </w:r>
      <w:r w:rsidR="00423CEB" w:rsidRPr="002F2963">
        <w:rPr>
          <w:rFonts w:ascii="Arial" w:hAnsi="Arial" w:cs="Arial"/>
          <w:color w:val="000000" w:themeColor="text1"/>
          <w:sz w:val="20"/>
        </w:rPr>
        <w:t>conferma</w:t>
      </w:r>
      <w:r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="0086642A" w:rsidRPr="002F2963">
        <w:rPr>
          <w:rFonts w:ascii="Arial" w:hAnsi="Arial" w:cs="Arial"/>
          <w:color w:val="000000" w:themeColor="text1"/>
          <w:sz w:val="20"/>
        </w:rPr>
        <w:t>un</w:t>
      </w:r>
      <w:r w:rsidRPr="002F2963">
        <w:rPr>
          <w:rFonts w:ascii="Arial" w:hAnsi="Arial" w:cs="Arial"/>
          <w:color w:val="000000" w:themeColor="text1"/>
          <w:sz w:val="20"/>
        </w:rPr>
        <w:t>a variazione</w:t>
      </w:r>
      <w:r w:rsidR="0086642A" w:rsidRPr="002F2963">
        <w:rPr>
          <w:rFonts w:ascii="Arial" w:hAnsi="Arial" w:cs="Arial"/>
          <w:color w:val="000000" w:themeColor="text1"/>
          <w:sz w:val="20"/>
        </w:rPr>
        <w:t xml:space="preserve"> negativa per il quarto trimestre consecutivo. Un dato </w:t>
      </w:r>
      <w:proofErr w:type="gramStart"/>
      <w:r w:rsidR="009720DF" w:rsidRPr="002F2963">
        <w:rPr>
          <w:rFonts w:ascii="Arial" w:hAnsi="Arial" w:cs="Arial"/>
          <w:color w:val="000000" w:themeColor="text1"/>
          <w:sz w:val="20"/>
        </w:rPr>
        <w:t>a cui</w:t>
      </w:r>
      <w:proofErr w:type="gramEnd"/>
      <w:r w:rsidR="009720DF" w:rsidRPr="002F2963">
        <w:rPr>
          <w:rFonts w:ascii="Arial" w:hAnsi="Arial" w:cs="Arial"/>
          <w:color w:val="000000" w:themeColor="text1"/>
          <w:sz w:val="20"/>
        </w:rPr>
        <w:t xml:space="preserve"> guardare con grande attenzione</w:t>
      </w:r>
      <w:r w:rsidR="0086642A" w:rsidRPr="002F2963">
        <w:rPr>
          <w:rFonts w:ascii="Arial" w:hAnsi="Arial" w:cs="Arial"/>
          <w:color w:val="000000" w:themeColor="text1"/>
          <w:sz w:val="20"/>
        </w:rPr>
        <w:t xml:space="preserve">, </w:t>
      </w:r>
      <w:r w:rsidR="009720DF" w:rsidRPr="002F2963">
        <w:rPr>
          <w:rFonts w:ascii="Arial" w:hAnsi="Arial" w:cs="Arial"/>
          <w:color w:val="000000" w:themeColor="text1"/>
          <w:sz w:val="20"/>
        </w:rPr>
        <w:t>per quanto debba</w:t>
      </w:r>
      <w:r w:rsidR="0086642A" w:rsidRPr="002F2963">
        <w:rPr>
          <w:rFonts w:ascii="Arial" w:hAnsi="Arial" w:cs="Arial"/>
          <w:color w:val="000000" w:themeColor="text1"/>
          <w:sz w:val="20"/>
        </w:rPr>
        <w:t xml:space="preserve"> essere letto alla luce</w:t>
      </w:r>
      <w:r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="00423CEB" w:rsidRPr="002F2963">
        <w:rPr>
          <w:rFonts w:ascii="Arial" w:hAnsi="Arial" w:cs="Arial"/>
          <w:color w:val="000000" w:themeColor="text1"/>
          <w:sz w:val="20"/>
        </w:rPr>
        <w:t>della eccezionale crescita che ha segnato la seconda parte del 2020 e tutto il 2021, un andamento che non era mai stato registrato negli ultimi decenni. Una flessione, quella manif</w:t>
      </w:r>
      <w:r w:rsidR="009B47DD">
        <w:rPr>
          <w:rFonts w:ascii="Arial" w:hAnsi="Arial" w:cs="Arial"/>
          <w:color w:val="000000" w:themeColor="text1"/>
          <w:sz w:val="20"/>
        </w:rPr>
        <w:t xml:space="preserve">estatasi </w:t>
      </w:r>
      <w:proofErr w:type="gramStart"/>
      <w:r w:rsidR="009B47DD">
        <w:rPr>
          <w:rFonts w:ascii="Arial" w:hAnsi="Arial" w:cs="Arial"/>
          <w:color w:val="000000" w:themeColor="text1"/>
          <w:sz w:val="20"/>
        </w:rPr>
        <w:t xml:space="preserve">a </w:t>
      </w:r>
      <w:r w:rsidR="00423CEB" w:rsidRPr="002F2963">
        <w:rPr>
          <w:rFonts w:ascii="Arial" w:hAnsi="Arial" w:cs="Arial"/>
          <w:color w:val="000000" w:themeColor="text1"/>
          <w:sz w:val="20"/>
        </w:rPr>
        <w:t>partire dal</w:t>
      </w:r>
      <w:proofErr w:type="gramEnd"/>
      <w:r w:rsidR="00423CEB" w:rsidRPr="002F2963">
        <w:rPr>
          <w:rFonts w:ascii="Arial" w:hAnsi="Arial" w:cs="Arial"/>
          <w:color w:val="000000" w:themeColor="text1"/>
          <w:sz w:val="20"/>
        </w:rPr>
        <w:t xml:space="preserve"> secondo trimestre 2021, che </w:t>
      </w:r>
      <w:r w:rsidR="009720DF" w:rsidRPr="002F2963">
        <w:rPr>
          <w:rFonts w:ascii="Arial" w:hAnsi="Arial" w:cs="Arial"/>
          <w:color w:val="000000" w:themeColor="text1"/>
          <w:sz w:val="20"/>
        </w:rPr>
        <w:t>possiamo definire</w:t>
      </w:r>
      <w:r w:rsidR="00423CEB" w:rsidRPr="002F2963">
        <w:rPr>
          <w:rFonts w:ascii="Arial" w:hAnsi="Arial" w:cs="Arial"/>
          <w:color w:val="000000" w:themeColor="text1"/>
          <w:sz w:val="20"/>
        </w:rPr>
        <w:t xml:space="preserve"> fisiologica, anche se l’accelerazione negativa </w:t>
      </w:r>
      <w:r w:rsidR="00376C83">
        <w:rPr>
          <w:rFonts w:ascii="Arial" w:hAnsi="Arial" w:cs="Arial"/>
          <w:color w:val="000000" w:themeColor="text1"/>
          <w:sz w:val="20"/>
        </w:rPr>
        <w:t>rilevata</w:t>
      </w:r>
      <w:r w:rsidR="009720DF" w:rsidRPr="002F2963">
        <w:rPr>
          <w:rFonts w:ascii="Arial" w:hAnsi="Arial" w:cs="Arial"/>
          <w:color w:val="000000" w:themeColor="text1"/>
          <w:sz w:val="20"/>
        </w:rPr>
        <w:t xml:space="preserve"> nel periodo</w:t>
      </w:r>
      <w:r w:rsidR="00423CEB" w:rsidRPr="002F2963">
        <w:rPr>
          <w:rFonts w:ascii="Arial" w:hAnsi="Arial" w:cs="Arial"/>
          <w:color w:val="000000" w:themeColor="text1"/>
          <w:sz w:val="20"/>
        </w:rPr>
        <w:t xml:space="preserve"> gennaio-marzo </w:t>
      </w:r>
      <w:r w:rsidR="009720DF" w:rsidRPr="002F2963">
        <w:rPr>
          <w:rFonts w:ascii="Arial" w:hAnsi="Arial" w:cs="Arial"/>
          <w:color w:val="000000" w:themeColor="text1"/>
          <w:sz w:val="20"/>
        </w:rPr>
        <w:t xml:space="preserve">2023 </w:t>
      </w:r>
      <w:r w:rsidR="00720D6D">
        <w:rPr>
          <w:rFonts w:ascii="Arial" w:hAnsi="Arial" w:cs="Arial"/>
          <w:color w:val="000000" w:themeColor="text1"/>
          <w:sz w:val="20"/>
        </w:rPr>
        <w:t>desta</w:t>
      </w:r>
      <w:r w:rsidR="00423CEB" w:rsidRPr="002F2963">
        <w:rPr>
          <w:rFonts w:ascii="Arial" w:hAnsi="Arial" w:cs="Arial"/>
          <w:color w:val="000000" w:themeColor="text1"/>
          <w:sz w:val="20"/>
        </w:rPr>
        <w:t xml:space="preserve"> qualche preoccupazione.</w:t>
      </w:r>
    </w:p>
    <w:p w14:paraId="21A4CBAA" w14:textId="13DBF9F3" w:rsidR="00F7011C" w:rsidRPr="002F2963" w:rsidRDefault="009B47DD" w:rsidP="009720DF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N</w:t>
      </w:r>
      <w:r w:rsidR="009720DF" w:rsidRPr="002F2963">
        <w:rPr>
          <w:rFonts w:ascii="Arial" w:hAnsi="Arial" w:cs="Arial"/>
          <w:color w:val="000000" w:themeColor="text1"/>
          <w:sz w:val="20"/>
        </w:rPr>
        <w:t xml:space="preserve">el primo trimestre di quest'anno </w:t>
      </w:r>
      <w:r w:rsidR="00F7011C" w:rsidRPr="002F2963">
        <w:rPr>
          <w:rFonts w:ascii="Arial" w:hAnsi="Arial" w:cs="Arial"/>
          <w:color w:val="000000" w:themeColor="text1"/>
          <w:sz w:val="20"/>
        </w:rPr>
        <w:t xml:space="preserve">gli </w:t>
      </w:r>
      <w:r w:rsidR="00F7011C" w:rsidRPr="002F2963">
        <w:rPr>
          <w:rFonts w:ascii="Arial" w:hAnsi="Arial" w:cs="Arial"/>
          <w:b/>
          <w:bCs/>
          <w:color w:val="000000" w:themeColor="text1"/>
          <w:sz w:val="20"/>
        </w:rPr>
        <w:t xml:space="preserve">ordini </w:t>
      </w:r>
      <w:r w:rsidR="00F7011C" w:rsidRPr="002F2963">
        <w:rPr>
          <w:rFonts w:ascii="Arial" w:hAnsi="Arial" w:cs="Arial"/>
          <w:color w:val="000000" w:themeColor="text1"/>
          <w:sz w:val="20"/>
        </w:rPr>
        <w:t>hanno</w:t>
      </w:r>
      <w:r>
        <w:rPr>
          <w:rFonts w:ascii="Arial" w:hAnsi="Arial" w:cs="Arial"/>
          <w:color w:val="000000" w:themeColor="text1"/>
          <w:sz w:val="20"/>
        </w:rPr>
        <w:t xml:space="preserve"> dunque</w:t>
      </w:r>
      <w:r w:rsidR="00F7011C" w:rsidRPr="002F2963">
        <w:rPr>
          <w:rFonts w:ascii="Arial" w:hAnsi="Arial" w:cs="Arial"/>
          <w:color w:val="000000" w:themeColor="text1"/>
          <w:sz w:val="20"/>
        </w:rPr>
        <w:t xml:space="preserve"> fatto segnare </w:t>
      </w:r>
      <w:r w:rsidR="00F7011C" w:rsidRPr="002F2963">
        <w:rPr>
          <w:rFonts w:ascii="Arial" w:hAnsi="Arial" w:cs="Arial"/>
          <w:b/>
          <w:bCs/>
          <w:color w:val="000000" w:themeColor="text1"/>
          <w:sz w:val="20"/>
        </w:rPr>
        <w:t>un calo del 25,7</w:t>
      </w:r>
      <w:r w:rsidR="009720DF" w:rsidRPr="002F2963">
        <w:rPr>
          <w:rFonts w:ascii="Arial" w:hAnsi="Arial" w:cs="Arial"/>
          <w:b/>
          <w:bCs/>
          <w:color w:val="000000" w:themeColor="text1"/>
          <w:sz w:val="20"/>
        </w:rPr>
        <w:t xml:space="preserve"> per cento</w:t>
      </w:r>
      <w:r w:rsidR="00F7011C" w:rsidRPr="002F2963">
        <w:rPr>
          <w:rFonts w:ascii="Arial" w:hAnsi="Arial" w:cs="Arial"/>
          <w:color w:val="000000" w:themeColor="text1"/>
          <w:sz w:val="20"/>
        </w:rPr>
        <w:t xml:space="preserve"> sull’analogo periodo dell’anno precedente</w:t>
      </w:r>
      <w:r w:rsidR="009720DF" w:rsidRPr="002F2963">
        <w:rPr>
          <w:rFonts w:ascii="Arial" w:hAnsi="Arial" w:cs="Arial"/>
          <w:color w:val="000000" w:themeColor="text1"/>
          <w:sz w:val="20"/>
        </w:rPr>
        <w:t xml:space="preserve">, un dato sul quale hanno pesato sia la contrazione della domanda dai </w:t>
      </w:r>
      <w:r w:rsidR="009720DF" w:rsidRPr="002F2963">
        <w:rPr>
          <w:rFonts w:ascii="Arial" w:hAnsi="Arial" w:cs="Arial"/>
          <w:b/>
          <w:color w:val="000000" w:themeColor="text1"/>
          <w:sz w:val="20"/>
        </w:rPr>
        <w:t xml:space="preserve">mercati esteri (meno </w:t>
      </w:r>
      <w:r w:rsidR="00F7011C" w:rsidRPr="002F2963">
        <w:rPr>
          <w:rFonts w:ascii="Arial" w:hAnsi="Arial" w:cs="Arial"/>
          <w:b/>
          <w:color w:val="000000" w:themeColor="text1"/>
          <w:sz w:val="20"/>
        </w:rPr>
        <w:t>20,6</w:t>
      </w:r>
      <w:r w:rsidR="009720DF" w:rsidRPr="002F2963">
        <w:rPr>
          <w:rFonts w:ascii="Arial" w:hAnsi="Arial" w:cs="Arial"/>
          <w:b/>
          <w:color w:val="000000" w:themeColor="text1"/>
          <w:sz w:val="20"/>
        </w:rPr>
        <w:t xml:space="preserve"> per cento)</w:t>
      </w:r>
      <w:r w:rsidR="00F7011C"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="009720DF" w:rsidRPr="002F2963">
        <w:rPr>
          <w:rFonts w:ascii="Arial" w:hAnsi="Arial" w:cs="Arial"/>
          <w:color w:val="000000" w:themeColor="text1"/>
          <w:sz w:val="20"/>
        </w:rPr>
        <w:t xml:space="preserve">che la indubbiamente più </w:t>
      </w:r>
      <w:proofErr w:type="gramStart"/>
      <w:r w:rsidR="009720DF" w:rsidRPr="002F2963">
        <w:rPr>
          <w:rFonts w:ascii="Arial" w:hAnsi="Arial" w:cs="Arial"/>
          <w:color w:val="000000" w:themeColor="text1"/>
          <w:sz w:val="20"/>
        </w:rPr>
        <w:t>significativa</w:t>
      </w:r>
      <w:proofErr w:type="gramEnd"/>
      <w:r w:rsidR="009720DF" w:rsidRPr="002F2963">
        <w:rPr>
          <w:rFonts w:ascii="Arial" w:hAnsi="Arial" w:cs="Arial"/>
          <w:color w:val="000000" w:themeColor="text1"/>
          <w:sz w:val="20"/>
        </w:rPr>
        <w:t xml:space="preserve"> flessione del </w:t>
      </w:r>
      <w:r w:rsidR="00180621">
        <w:rPr>
          <w:rFonts w:ascii="Arial" w:hAnsi="Arial" w:cs="Arial"/>
          <w:b/>
          <w:color w:val="000000" w:themeColor="text1"/>
          <w:sz w:val="20"/>
        </w:rPr>
        <w:t>mercato interno (meno 38,</w:t>
      </w:r>
      <w:r w:rsidR="009720DF" w:rsidRPr="002F2963">
        <w:rPr>
          <w:rFonts w:ascii="Arial" w:hAnsi="Arial" w:cs="Arial"/>
          <w:b/>
          <w:color w:val="000000" w:themeColor="text1"/>
          <w:sz w:val="20"/>
        </w:rPr>
        <w:t>9 per cento)</w:t>
      </w:r>
      <w:r w:rsidR="009720DF" w:rsidRPr="002F2963">
        <w:rPr>
          <w:rFonts w:ascii="Arial" w:hAnsi="Arial" w:cs="Arial"/>
          <w:color w:val="000000" w:themeColor="text1"/>
          <w:sz w:val="20"/>
        </w:rPr>
        <w:t>.</w:t>
      </w:r>
    </w:p>
    <w:p w14:paraId="6A74CD2A" w14:textId="77777777" w:rsidR="009720DF" w:rsidRPr="002F2963" w:rsidRDefault="009720DF" w:rsidP="009720DF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2D423128" w14:textId="343FE985" w:rsidR="00F7011C" w:rsidRPr="002F2963" w:rsidRDefault="00F7011C" w:rsidP="00F7011C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color w:val="000000" w:themeColor="text1"/>
          <w:sz w:val="20"/>
        </w:rPr>
        <w:t xml:space="preserve">Occorre peraltro rilevare che si tratta di confronti con un trimestre, </w:t>
      </w:r>
      <w:r w:rsidR="00180621">
        <w:rPr>
          <w:rFonts w:ascii="Arial" w:hAnsi="Arial" w:cs="Arial"/>
          <w:color w:val="000000" w:themeColor="text1"/>
          <w:sz w:val="20"/>
        </w:rPr>
        <w:t>il periodo gennaio-marzo</w:t>
      </w:r>
      <w:r w:rsidRPr="002F2963">
        <w:rPr>
          <w:rFonts w:ascii="Arial" w:hAnsi="Arial" w:cs="Arial"/>
          <w:color w:val="000000" w:themeColor="text1"/>
          <w:sz w:val="20"/>
        </w:rPr>
        <w:t xml:space="preserve"> 2022, ancora in fase espansiva</w:t>
      </w:r>
      <w:r w:rsidR="00386076" w:rsidRPr="002F2963">
        <w:rPr>
          <w:rFonts w:ascii="Arial" w:hAnsi="Arial" w:cs="Arial"/>
          <w:color w:val="000000" w:themeColor="text1"/>
          <w:sz w:val="20"/>
        </w:rPr>
        <w:t xml:space="preserve">, con tassi </w:t>
      </w:r>
      <w:r w:rsidRPr="002F2963">
        <w:rPr>
          <w:rFonts w:ascii="Arial" w:hAnsi="Arial" w:cs="Arial"/>
          <w:color w:val="000000" w:themeColor="text1"/>
          <w:sz w:val="20"/>
        </w:rPr>
        <w:t xml:space="preserve">di crescita </w:t>
      </w:r>
      <w:r w:rsidR="00386076" w:rsidRPr="002F2963">
        <w:rPr>
          <w:rFonts w:ascii="Arial" w:hAnsi="Arial" w:cs="Arial"/>
          <w:color w:val="000000" w:themeColor="text1"/>
          <w:sz w:val="20"/>
        </w:rPr>
        <w:t>importanti sia sul mercato italiano che estero, grazie agli incentivi p</w:t>
      </w:r>
      <w:r w:rsidR="004C4277" w:rsidRPr="002F2963">
        <w:rPr>
          <w:rFonts w:ascii="Arial" w:hAnsi="Arial" w:cs="Arial"/>
          <w:color w:val="000000" w:themeColor="text1"/>
          <w:sz w:val="20"/>
        </w:rPr>
        <w:t>ubblici adottati in molti Paesi</w:t>
      </w:r>
      <w:r w:rsidR="00386076" w:rsidRPr="002F2963">
        <w:rPr>
          <w:rFonts w:ascii="Arial" w:hAnsi="Arial" w:cs="Arial"/>
          <w:color w:val="000000" w:themeColor="text1"/>
          <w:sz w:val="20"/>
        </w:rPr>
        <w:t xml:space="preserve"> che </w:t>
      </w:r>
      <w:r w:rsidRPr="002F2963">
        <w:rPr>
          <w:rFonts w:ascii="Arial" w:hAnsi="Arial" w:cs="Arial"/>
          <w:color w:val="000000" w:themeColor="text1"/>
          <w:sz w:val="20"/>
        </w:rPr>
        <w:t xml:space="preserve">se da un lato hanno avuto </w:t>
      </w:r>
      <w:r w:rsidR="00386076" w:rsidRPr="002F2963">
        <w:rPr>
          <w:rFonts w:ascii="Arial" w:hAnsi="Arial" w:cs="Arial"/>
          <w:color w:val="000000" w:themeColor="text1"/>
          <w:sz w:val="20"/>
        </w:rPr>
        <w:t>l'indubbio</w:t>
      </w:r>
      <w:r w:rsidRPr="002F2963">
        <w:rPr>
          <w:rFonts w:ascii="Arial" w:hAnsi="Arial" w:cs="Arial"/>
          <w:color w:val="000000" w:themeColor="text1"/>
          <w:sz w:val="20"/>
        </w:rPr>
        <w:t xml:space="preserve"> merito di </w:t>
      </w:r>
      <w:r w:rsidR="00386076" w:rsidRPr="002F2963">
        <w:rPr>
          <w:rFonts w:ascii="Arial" w:hAnsi="Arial" w:cs="Arial"/>
          <w:color w:val="000000" w:themeColor="text1"/>
          <w:sz w:val="20"/>
        </w:rPr>
        <w:t>sostenere</w:t>
      </w:r>
      <w:r w:rsidRPr="002F2963">
        <w:rPr>
          <w:rFonts w:ascii="Arial" w:hAnsi="Arial" w:cs="Arial"/>
          <w:color w:val="000000" w:themeColor="text1"/>
          <w:sz w:val="20"/>
        </w:rPr>
        <w:t xml:space="preserve"> i vari comparti industriali </w:t>
      </w:r>
      <w:r w:rsidR="00386076" w:rsidRPr="002F2963">
        <w:rPr>
          <w:rFonts w:ascii="Arial" w:hAnsi="Arial" w:cs="Arial"/>
          <w:color w:val="000000" w:themeColor="text1"/>
          <w:sz w:val="20"/>
        </w:rPr>
        <w:t>nel</w:t>
      </w:r>
      <w:r w:rsidRPr="002F2963">
        <w:rPr>
          <w:rFonts w:ascii="Arial" w:hAnsi="Arial" w:cs="Arial"/>
          <w:color w:val="000000" w:themeColor="text1"/>
          <w:sz w:val="20"/>
        </w:rPr>
        <w:t xml:space="preserve"> supera</w:t>
      </w:r>
      <w:r w:rsidR="00386076" w:rsidRPr="002F2963">
        <w:rPr>
          <w:rFonts w:ascii="Arial" w:hAnsi="Arial" w:cs="Arial"/>
          <w:color w:val="000000" w:themeColor="text1"/>
          <w:sz w:val="20"/>
        </w:rPr>
        <w:t xml:space="preserve">mento </w:t>
      </w:r>
      <w:proofErr w:type="gramStart"/>
      <w:r w:rsidR="00386076" w:rsidRPr="002F2963">
        <w:rPr>
          <w:rFonts w:ascii="Arial" w:hAnsi="Arial" w:cs="Arial"/>
          <w:color w:val="000000" w:themeColor="text1"/>
          <w:sz w:val="20"/>
        </w:rPr>
        <w:t>delle</w:t>
      </w:r>
      <w:proofErr w:type="gramEnd"/>
      <w:r w:rsidR="00386076" w:rsidRPr="002F2963">
        <w:rPr>
          <w:rFonts w:ascii="Arial" w:hAnsi="Arial" w:cs="Arial"/>
          <w:color w:val="000000" w:themeColor="text1"/>
          <w:sz w:val="20"/>
        </w:rPr>
        <w:t xml:space="preserve"> conseguenza della emergenza sanitaria mondiale, dall'altro hanno </w:t>
      </w:r>
      <w:r w:rsidR="004C4277" w:rsidRPr="002F2963">
        <w:rPr>
          <w:rFonts w:ascii="Arial" w:hAnsi="Arial" w:cs="Arial"/>
          <w:color w:val="000000" w:themeColor="text1"/>
          <w:sz w:val="20"/>
        </w:rPr>
        <w:t>condizionato</w:t>
      </w:r>
      <w:r w:rsidRPr="002F2963">
        <w:rPr>
          <w:rFonts w:ascii="Arial" w:hAnsi="Arial" w:cs="Arial"/>
          <w:color w:val="000000" w:themeColor="text1"/>
          <w:sz w:val="20"/>
        </w:rPr>
        <w:t xml:space="preserve"> la normale evoluzione del mercato. </w:t>
      </w:r>
    </w:p>
    <w:p w14:paraId="2CB0A24A" w14:textId="77777777" w:rsidR="00F7011C" w:rsidRPr="002F2963" w:rsidRDefault="00F7011C" w:rsidP="00F7011C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5F648812" w14:textId="223F280E" w:rsidR="00F7011C" w:rsidRPr="002F2963" w:rsidRDefault="00F7011C" w:rsidP="00F7011C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color w:val="000000" w:themeColor="text1"/>
          <w:sz w:val="20"/>
        </w:rPr>
        <w:t xml:space="preserve">Il calo degli ordinativi si riflette di conseguenza sui </w:t>
      </w:r>
      <w:r w:rsidRPr="002F2963">
        <w:rPr>
          <w:rFonts w:ascii="Arial" w:hAnsi="Arial" w:cs="Arial"/>
          <w:b/>
          <w:bCs/>
          <w:color w:val="000000" w:themeColor="text1"/>
          <w:sz w:val="20"/>
        </w:rPr>
        <w:t>mesi di produzione assicurata</w:t>
      </w:r>
      <w:r w:rsidR="00194570" w:rsidRPr="002F2963">
        <w:rPr>
          <w:rFonts w:ascii="Arial" w:hAnsi="Arial" w:cs="Arial"/>
          <w:color w:val="000000" w:themeColor="text1"/>
          <w:sz w:val="20"/>
        </w:rPr>
        <w:t>, c</w:t>
      </w:r>
      <w:r w:rsidRPr="002F2963">
        <w:rPr>
          <w:rFonts w:ascii="Arial" w:hAnsi="Arial" w:cs="Arial"/>
          <w:color w:val="000000" w:themeColor="text1"/>
          <w:sz w:val="20"/>
        </w:rPr>
        <w:t>he in media scendono da</w:t>
      </w:r>
      <w:r w:rsidR="00762E78">
        <w:rPr>
          <w:rFonts w:ascii="Arial" w:hAnsi="Arial" w:cs="Arial"/>
          <w:color w:val="000000" w:themeColor="text1"/>
          <w:sz w:val="20"/>
        </w:rPr>
        <w:t>i</w:t>
      </w:r>
      <w:r w:rsidRPr="002F2963">
        <w:rPr>
          <w:rFonts w:ascii="Arial" w:hAnsi="Arial" w:cs="Arial"/>
          <w:color w:val="000000" w:themeColor="text1"/>
          <w:sz w:val="20"/>
        </w:rPr>
        <w:t xml:space="preserve"> 6,1 del</w:t>
      </w:r>
      <w:r w:rsidR="00194570" w:rsidRPr="002F2963">
        <w:rPr>
          <w:rFonts w:ascii="Arial" w:hAnsi="Arial" w:cs="Arial"/>
          <w:color w:val="000000" w:themeColor="text1"/>
          <w:sz w:val="20"/>
        </w:rPr>
        <w:t xml:space="preserve"> trimestre ottobre-dicembre 2022 </w:t>
      </w:r>
      <w:r w:rsidRPr="002F2963">
        <w:rPr>
          <w:rFonts w:ascii="Arial" w:hAnsi="Arial" w:cs="Arial"/>
          <w:color w:val="000000" w:themeColor="text1"/>
          <w:sz w:val="20"/>
        </w:rPr>
        <w:t>a</w:t>
      </w:r>
      <w:r w:rsidR="00194570" w:rsidRPr="002F2963">
        <w:rPr>
          <w:rFonts w:ascii="Arial" w:hAnsi="Arial" w:cs="Arial"/>
          <w:color w:val="000000" w:themeColor="text1"/>
          <w:sz w:val="20"/>
        </w:rPr>
        <w:t>i</w:t>
      </w:r>
      <w:r w:rsidRPr="002F2963">
        <w:rPr>
          <w:rFonts w:ascii="Arial" w:hAnsi="Arial" w:cs="Arial"/>
          <w:color w:val="000000" w:themeColor="text1"/>
          <w:sz w:val="20"/>
        </w:rPr>
        <w:t xml:space="preserve"> 5,2 </w:t>
      </w:r>
      <w:r w:rsidR="00194570" w:rsidRPr="002F2963">
        <w:rPr>
          <w:rFonts w:ascii="Arial" w:hAnsi="Arial" w:cs="Arial"/>
          <w:color w:val="000000" w:themeColor="text1"/>
          <w:sz w:val="20"/>
        </w:rPr>
        <w:t xml:space="preserve">mesi </w:t>
      </w:r>
      <w:r w:rsidR="00376C83">
        <w:rPr>
          <w:rFonts w:ascii="Arial" w:hAnsi="Arial" w:cs="Arial"/>
          <w:color w:val="000000" w:themeColor="text1"/>
          <w:sz w:val="20"/>
        </w:rPr>
        <w:t>di gennaio-marz</w:t>
      </w:r>
      <w:r w:rsidR="00AB7930" w:rsidRPr="002F2963">
        <w:rPr>
          <w:rFonts w:ascii="Arial" w:hAnsi="Arial" w:cs="Arial"/>
          <w:color w:val="000000" w:themeColor="text1"/>
          <w:sz w:val="20"/>
        </w:rPr>
        <w:t>o 2023</w:t>
      </w:r>
      <w:r w:rsidRPr="002F2963">
        <w:rPr>
          <w:rFonts w:ascii="Arial" w:hAnsi="Arial" w:cs="Arial"/>
          <w:color w:val="000000" w:themeColor="text1"/>
          <w:sz w:val="20"/>
        </w:rPr>
        <w:t>.</w:t>
      </w:r>
    </w:p>
    <w:p w14:paraId="30D846D7" w14:textId="77777777" w:rsidR="00F7011C" w:rsidRPr="002F2963" w:rsidRDefault="00F7011C" w:rsidP="00F7011C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744EB07C" w14:textId="741937CA" w:rsidR="00AB4D14" w:rsidRPr="002F2963" w:rsidRDefault="00F7011C" w:rsidP="00AB4D14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color w:val="000000" w:themeColor="text1"/>
          <w:sz w:val="20"/>
        </w:rPr>
        <w:t>La dinamica inflattiva</w:t>
      </w:r>
      <w:r w:rsidR="00AB7930" w:rsidRPr="002F2963">
        <w:rPr>
          <w:rFonts w:ascii="Arial" w:hAnsi="Arial" w:cs="Arial"/>
          <w:color w:val="000000" w:themeColor="text1"/>
          <w:sz w:val="20"/>
        </w:rPr>
        <w:t xml:space="preserve"> – che</w:t>
      </w:r>
      <w:r w:rsidRPr="002F2963">
        <w:rPr>
          <w:rFonts w:ascii="Arial" w:hAnsi="Arial" w:cs="Arial"/>
          <w:color w:val="000000" w:themeColor="text1"/>
          <w:sz w:val="20"/>
        </w:rPr>
        <w:t xml:space="preserve"> nel 2022 </w:t>
      </w:r>
      <w:r w:rsidR="00AB7930" w:rsidRPr="002F2963">
        <w:rPr>
          <w:rFonts w:ascii="Arial" w:hAnsi="Arial" w:cs="Arial"/>
          <w:color w:val="000000" w:themeColor="text1"/>
          <w:sz w:val="20"/>
        </w:rPr>
        <w:t xml:space="preserve">era </w:t>
      </w:r>
      <w:r w:rsidRPr="002F2963">
        <w:rPr>
          <w:rFonts w:ascii="Arial" w:hAnsi="Arial" w:cs="Arial"/>
          <w:color w:val="000000" w:themeColor="text1"/>
          <w:sz w:val="20"/>
        </w:rPr>
        <w:t xml:space="preserve">in linea con </w:t>
      </w:r>
      <w:r w:rsidR="00AB7930" w:rsidRPr="002F2963">
        <w:rPr>
          <w:rFonts w:ascii="Arial" w:hAnsi="Arial" w:cs="Arial"/>
          <w:color w:val="000000" w:themeColor="text1"/>
          <w:sz w:val="20"/>
        </w:rPr>
        <w:t>quella del</w:t>
      </w:r>
      <w:r w:rsidRPr="002F2963">
        <w:rPr>
          <w:rFonts w:ascii="Arial" w:hAnsi="Arial" w:cs="Arial"/>
          <w:color w:val="000000" w:themeColor="text1"/>
          <w:sz w:val="20"/>
        </w:rPr>
        <w:t xml:space="preserve">l’economia </w:t>
      </w:r>
      <w:r w:rsidR="00AB7930" w:rsidRPr="002F2963">
        <w:rPr>
          <w:rFonts w:ascii="Arial" w:hAnsi="Arial" w:cs="Arial"/>
          <w:color w:val="000000" w:themeColor="text1"/>
          <w:sz w:val="20"/>
        </w:rPr>
        <w:t>nel suo complesso –</w:t>
      </w:r>
      <w:r w:rsidRPr="002F2963">
        <w:rPr>
          <w:rFonts w:ascii="Arial" w:hAnsi="Arial" w:cs="Arial"/>
          <w:color w:val="000000" w:themeColor="text1"/>
          <w:sz w:val="20"/>
        </w:rPr>
        <w:t xml:space="preserve"> nei primi mesi </w:t>
      </w:r>
      <w:r w:rsidR="00AB7930" w:rsidRPr="002F2963">
        <w:rPr>
          <w:rFonts w:ascii="Arial" w:hAnsi="Arial" w:cs="Arial"/>
          <w:color w:val="000000" w:themeColor="text1"/>
          <w:sz w:val="20"/>
        </w:rPr>
        <w:t>di quest'anno</w:t>
      </w:r>
      <w:r w:rsidRPr="002F2963">
        <w:rPr>
          <w:rFonts w:ascii="Arial" w:hAnsi="Arial" w:cs="Arial"/>
          <w:color w:val="000000" w:themeColor="text1"/>
          <w:sz w:val="20"/>
        </w:rPr>
        <w:t xml:space="preserve"> sembra aver</w:t>
      </w:r>
      <w:r w:rsidR="00AB7930" w:rsidRPr="002F2963">
        <w:rPr>
          <w:rFonts w:ascii="Arial" w:hAnsi="Arial" w:cs="Arial"/>
          <w:color w:val="000000" w:themeColor="text1"/>
          <w:sz w:val="20"/>
        </w:rPr>
        <w:t>e</w:t>
      </w:r>
      <w:r w:rsidRPr="002F2963">
        <w:rPr>
          <w:rFonts w:ascii="Arial" w:hAnsi="Arial" w:cs="Arial"/>
          <w:color w:val="000000" w:themeColor="text1"/>
          <w:sz w:val="20"/>
        </w:rPr>
        <w:t xml:space="preserve"> avuto una battuta di arresto</w:t>
      </w:r>
      <w:r w:rsidR="00762E78">
        <w:rPr>
          <w:rFonts w:ascii="Arial" w:hAnsi="Arial" w:cs="Arial"/>
          <w:color w:val="000000" w:themeColor="text1"/>
          <w:sz w:val="20"/>
        </w:rPr>
        <w:t>: l</w:t>
      </w:r>
      <w:r w:rsidR="00AB7930" w:rsidRPr="002F2963">
        <w:rPr>
          <w:rFonts w:ascii="Arial" w:hAnsi="Arial" w:cs="Arial"/>
          <w:color w:val="000000" w:themeColor="text1"/>
          <w:sz w:val="20"/>
        </w:rPr>
        <w:t xml:space="preserve">'incremento dei </w:t>
      </w:r>
      <w:r w:rsidR="00AB7930" w:rsidRPr="002F2963">
        <w:rPr>
          <w:rFonts w:ascii="Arial" w:hAnsi="Arial" w:cs="Arial"/>
          <w:b/>
          <w:color w:val="000000" w:themeColor="text1"/>
          <w:sz w:val="20"/>
        </w:rPr>
        <w:t>prezzi di vendita</w:t>
      </w:r>
      <w:r w:rsidR="00AB7930" w:rsidRPr="002F2963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="00AB7930" w:rsidRPr="002F2963">
        <w:rPr>
          <w:rFonts w:ascii="Arial" w:hAnsi="Arial" w:cs="Arial"/>
          <w:color w:val="000000" w:themeColor="text1"/>
          <w:sz w:val="20"/>
        </w:rPr>
        <w:t>delle</w:t>
      </w:r>
      <w:proofErr w:type="gramEnd"/>
      <w:r w:rsidR="00AB7930" w:rsidRPr="002F2963">
        <w:rPr>
          <w:rFonts w:ascii="Arial" w:hAnsi="Arial" w:cs="Arial"/>
          <w:color w:val="000000" w:themeColor="text1"/>
          <w:sz w:val="20"/>
        </w:rPr>
        <w:t xml:space="preserve"> tecnologie per il legno e l'industria del mobile si attesta a quota più 0.6 per cento.</w:t>
      </w:r>
    </w:p>
    <w:p w14:paraId="5F153D9E" w14:textId="77777777" w:rsidR="00AB4D14" w:rsidRPr="002F2963" w:rsidRDefault="00AB4D14" w:rsidP="00AB4D1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631D933E" w14:textId="7428B110" w:rsidR="00AB4D14" w:rsidRPr="002F2963" w:rsidRDefault="00AB4D14" w:rsidP="00762E78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color w:val="000000" w:themeColor="text1"/>
          <w:sz w:val="20"/>
        </w:rPr>
        <w:t>Le opinioni sul fronte dell’</w:t>
      </w:r>
      <w:r w:rsidRPr="002F2963">
        <w:rPr>
          <w:rFonts w:ascii="Arial" w:hAnsi="Arial" w:cs="Arial"/>
          <w:b/>
          <w:color w:val="000000" w:themeColor="text1"/>
          <w:sz w:val="20"/>
        </w:rPr>
        <w:t xml:space="preserve">indagine qualitativa </w:t>
      </w:r>
      <w:r w:rsidRPr="002F2963">
        <w:rPr>
          <w:rFonts w:ascii="Arial" w:hAnsi="Arial" w:cs="Arial"/>
          <w:color w:val="000000" w:themeColor="text1"/>
          <w:sz w:val="20"/>
        </w:rPr>
        <w:t xml:space="preserve">relativa al trimestre in esame rivelano come il campione </w:t>
      </w:r>
      <w:r w:rsidR="00180621">
        <w:rPr>
          <w:rFonts w:ascii="Arial" w:hAnsi="Arial" w:cs="Arial"/>
          <w:color w:val="000000" w:themeColor="text1"/>
          <w:sz w:val="20"/>
        </w:rPr>
        <w:t xml:space="preserve">di aziende intervistate </w:t>
      </w:r>
      <w:r w:rsidRPr="002F2963">
        <w:rPr>
          <w:rFonts w:ascii="Arial" w:hAnsi="Arial" w:cs="Arial"/>
          <w:color w:val="000000" w:themeColor="text1"/>
          <w:sz w:val="20"/>
        </w:rPr>
        <w:t>propenda per una sostanziale stabilità</w:t>
      </w:r>
      <w:r w:rsidR="00762E78">
        <w:rPr>
          <w:rFonts w:ascii="Arial" w:hAnsi="Arial" w:cs="Arial"/>
          <w:color w:val="000000" w:themeColor="text1"/>
          <w:sz w:val="20"/>
        </w:rPr>
        <w:t xml:space="preserve"> della</w:t>
      </w:r>
      <w:r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Pr="002F2963">
        <w:rPr>
          <w:rFonts w:ascii="Arial" w:hAnsi="Arial" w:cs="Arial"/>
          <w:b/>
          <w:color w:val="000000" w:themeColor="text1"/>
          <w:sz w:val="20"/>
        </w:rPr>
        <w:t>produzion</w:t>
      </w:r>
      <w:r w:rsidRPr="002F2963">
        <w:rPr>
          <w:rFonts w:ascii="Arial" w:hAnsi="Arial" w:cs="Arial"/>
          <w:color w:val="000000" w:themeColor="text1"/>
          <w:sz w:val="20"/>
        </w:rPr>
        <w:t xml:space="preserve">e </w:t>
      </w:r>
      <w:r w:rsidR="00762E78">
        <w:rPr>
          <w:rFonts w:ascii="Arial" w:hAnsi="Arial" w:cs="Arial"/>
          <w:color w:val="000000" w:themeColor="text1"/>
          <w:sz w:val="20"/>
        </w:rPr>
        <w:t>(</w:t>
      </w:r>
      <w:r w:rsidRPr="002F2963">
        <w:rPr>
          <w:rFonts w:ascii="Arial" w:hAnsi="Arial" w:cs="Arial"/>
          <w:color w:val="000000" w:themeColor="text1"/>
          <w:sz w:val="20"/>
        </w:rPr>
        <w:t>71</w:t>
      </w:r>
      <w:r w:rsidR="00180621">
        <w:rPr>
          <w:rFonts w:ascii="Arial" w:hAnsi="Arial" w:cs="Arial"/>
          <w:color w:val="000000" w:themeColor="text1"/>
          <w:sz w:val="20"/>
        </w:rPr>
        <w:t xml:space="preserve"> per cento</w:t>
      </w:r>
      <w:r w:rsidR="00762E78">
        <w:rPr>
          <w:rFonts w:ascii="Arial" w:hAnsi="Arial" w:cs="Arial"/>
          <w:color w:val="000000" w:themeColor="text1"/>
          <w:sz w:val="20"/>
        </w:rPr>
        <w:t>); i</w:t>
      </w:r>
      <w:r w:rsidRPr="002F2963">
        <w:rPr>
          <w:rFonts w:ascii="Arial" w:hAnsi="Arial" w:cs="Arial"/>
          <w:color w:val="000000" w:themeColor="text1"/>
          <w:sz w:val="20"/>
        </w:rPr>
        <w:t>l 24 per cento rilev</w:t>
      </w:r>
      <w:r w:rsidR="00180621">
        <w:rPr>
          <w:rFonts w:ascii="Arial" w:hAnsi="Arial" w:cs="Arial"/>
          <w:color w:val="000000" w:themeColor="text1"/>
          <w:sz w:val="20"/>
        </w:rPr>
        <w:t>i</w:t>
      </w:r>
      <w:r w:rsidRPr="002F2963">
        <w:rPr>
          <w:rFonts w:ascii="Arial" w:hAnsi="Arial" w:cs="Arial"/>
          <w:color w:val="000000" w:themeColor="text1"/>
          <w:sz w:val="20"/>
        </w:rPr>
        <w:t xml:space="preserve"> un trend in crescita, il 5 per cento in diminuzione.</w:t>
      </w:r>
      <w:r w:rsidR="00762E78">
        <w:rPr>
          <w:rFonts w:ascii="Arial" w:hAnsi="Arial" w:cs="Arial"/>
          <w:color w:val="000000" w:themeColor="text1"/>
          <w:sz w:val="20"/>
        </w:rPr>
        <w:t xml:space="preserve"> </w:t>
      </w:r>
      <w:r w:rsidRPr="002F2963">
        <w:rPr>
          <w:rFonts w:ascii="Arial" w:hAnsi="Arial" w:cs="Arial"/>
          <w:color w:val="000000" w:themeColor="text1"/>
          <w:sz w:val="20"/>
        </w:rPr>
        <w:t>L’</w:t>
      </w:r>
      <w:r w:rsidRPr="002F2963">
        <w:rPr>
          <w:rFonts w:ascii="Arial" w:hAnsi="Arial" w:cs="Arial"/>
          <w:b/>
          <w:color w:val="000000" w:themeColor="text1"/>
          <w:sz w:val="20"/>
        </w:rPr>
        <w:t>occupazione</w:t>
      </w:r>
      <w:r w:rsidRPr="002F2963">
        <w:rPr>
          <w:rFonts w:ascii="Arial" w:hAnsi="Arial" w:cs="Arial"/>
          <w:color w:val="000000" w:themeColor="text1"/>
          <w:sz w:val="20"/>
        </w:rPr>
        <w:t xml:space="preserve">: è in aumento </w:t>
      </w:r>
      <w:r w:rsidR="00762E78">
        <w:rPr>
          <w:rFonts w:ascii="Arial" w:hAnsi="Arial" w:cs="Arial"/>
          <w:color w:val="000000" w:themeColor="text1"/>
          <w:sz w:val="20"/>
        </w:rPr>
        <w:t>secondo</w:t>
      </w:r>
      <w:r w:rsidRPr="002F2963">
        <w:rPr>
          <w:rFonts w:ascii="Arial" w:hAnsi="Arial" w:cs="Arial"/>
          <w:color w:val="000000" w:themeColor="text1"/>
          <w:sz w:val="20"/>
        </w:rPr>
        <w:t xml:space="preserve"> il 14 per cento del campione, stabile per </w:t>
      </w:r>
      <w:proofErr w:type="gramStart"/>
      <w:r w:rsidRPr="002F2963">
        <w:rPr>
          <w:rFonts w:ascii="Arial" w:hAnsi="Arial" w:cs="Arial"/>
          <w:color w:val="000000" w:themeColor="text1"/>
          <w:sz w:val="20"/>
        </w:rPr>
        <w:t>l’81</w:t>
      </w:r>
      <w:proofErr w:type="gramEnd"/>
      <w:r w:rsidRPr="002F2963">
        <w:rPr>
          <w:rFonts w:ascii="Arial" w:hAnsi="Arial" w:cs="Arial"/>
          <w:color w:val="000000" w:themeColor="text1"/>
          <w:sz w:val="20"/>
        </w:rPr>
        <w:t xml:space="preserve"> per cento, in calo per il 5 per cento. </w:t>
      </w:r>
      <w:r w:rsidRPr="002F2963">
        <w:rPr>
          <w:rFonts w:ascii="Arial" w:hAnsi="Arial" w:cs="Arial"/>
          <w:b/>
          <w:color w:val="000000" w:themeColor="text1"/>
          <w:sz w:val="20"/>
        </w:rPr>
        <w:t>Giacenze</w:t>
      </w:r>
      <w:r w:rsidRPr="002F2963">
        <w:rPr>
          <w:rFonts w:ascii="Arial" w:hAnsi="Arial" w:cs="Arial"/>
          <w:color w:val="000000" w:themeColor="text1"/>
          <w:sz w:val="20"/>
        </w:rPr>
        <w:t xml:space="preserve"> stabili per il 62 per cento degli intervistati, mentre il restante 38 per cento si divide e</w:t>
      </w:r>
      <w:r w:rsidR="00180621">
        <w:rPr>
          <w:rFonts w:ascii="Arial" w:hAnsi="Arial" w:cs="Arial"/>
          <w:color w:val="000000" w:themeColor="text1"/>
          <w:sz w:val="20"/>
        </w:rPr>
        <w:t>quamente</w:t>
      </w:r>
      <w:r w:rsidRPr="002F2963">
        <w:rPr>
          <w:rFonts w:ascii="Arial" w:hAnsi="Arial" w:cs="Arial"/>
          <w:color w:val="000000" w:themeColor="text1"/>
          <w:sz w:val="20"/>
        </w:rPr>
        <w:t xml:space="preserve"> fra quanti vedono un aumento (19 per cento) e quanti una contrazione (19 per cento).</w:t>
      </w:r>
    </w:p>
    <w:p w14:paraId="43C3C5AF" w14:textId="77777777" w:rsidR="00AB4D14" w:rsidRPr="002F2963" w:rsidRDefault="00AB4D14" w:rsidP="00AB4D14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3FEED21D" w14:textId="5C8647F4" w:rsidR="008570D7" w:rsidRPr="002F2963" w:rsidRDefault="00AB4D14" w:rsidP="008570D7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color w:val="000000" w:themeColor="text1"/>
          <w:sz w:val="20"/>
        </w:rPr>
        <w:t>L’</w:t>
      </w:r>
      <w:r w:rsidRPr="002F2963">
        <w:rPr>
          <w:rFonts w:ascii="Arial" w:hAnsi="Arial" w:cs="Arial"/>
          <w:b/>
          <w:color w:val="000000" w:themeColor="text1"/>
          <w:sz w:val="20"/>
        </w:rPr>
        <w:t>indagine previsionale</w:t>
      </w:r>
      <w:r w:rsidRPr="002F2963">
        <w:rPr>
          <w:rFonts w:ascii="Arial" w:hAnsi="Arial" w:cs="Arial"/>
          <w:color w:val="000000" w:themeColor="text1"/>
          <w:sz w:val="20"/>
        </w:rPr>
        <w:t xml:space="preserve"> permette di dare uno sguardo agli scenari che potrebbero configurarsi a breve termine: </w:t>
      </w:r>
      <w:r w:rsidR="008570D7" w:rsidRPr="002F2963">
        <w:rPr>
          <w:rFonts w:ascii="Arial" w:hAnsi="Arial" w:cs="Arial"/>
          <w:color w:val="000000" w:themeColor="text1"/>
          <w:sz w:val="20"/>
        </w:rPr>
        <w:t>il 38 per cento del</w:t>
      </w:r>
      <w:r w:rsidRPr="002F2963">
        <w:rPr>
          <w:rFonts w:ascii="Arial" w:hAnsi="Arial" w:cs="Arial"/>
          <w:color w:val="000000" w:themeColor="text1"/>
          <w:sz w:val="20"/>
        </w:rPr>
        <w:t xml:space="preserve"> campione propende per una </w:t>
      </w:r>
      <w:r w:rsidRPr="002F2963">
        <w:rPr>
          <w:rFonts w:ascii="Arial" w:hAnsi="Arial" w:cs="Arial"/>
          <w:bCs/>
          <w:color w:val="000000" w:themeColor="text1"/>
          <w:sz w:val="20"/>
        </w:rPr>
        <w:t xml:space="preserve">sostanziale stabilità degli ordinativi </w:t>
      </w:r>
      <w:r w:rsidR="008570D7" w:rsidRPr="002F2963">
        <w:rPr>
          <w:rFonts w:ascii="Arial" w:hAnsi="Arial" w:cs="Arial"/>
          <w:bCs/>
          <w:color w:val="000000" w:themeColor="text1"/>
          <w:sz w:val="20"/>
        </w:rPr>
        <w:t>da</w:t>
      </w:r>
      <w:r w:rsidRPr="002F2963">
        <w:rPr>
          <w:rFonts w:ascii="Arial" w:hAnsi="Arial" w:cs="Arial"/>
          <w:bCs/>
          <w:color w:val="000000" w:themeColor="text1"/>
          <w:sz w:val="20"/>
        </w:rPr>
        <w:t>l</w:t>
      </w:r>
      <w:r w:rsidRPr="002F2963">
        <w:rPr>
          <w:rFonts w:ascii="Arial" w:hAnsi="Arial" w:cs="Arial"/>
          <w:b/>
          <w:bCs/>
          <w:color w:val="000000" w:themeColor="text1"/>
          <w:sz w:val="20"/>
        </w:rPr>
        <w:t xml:space="preserve"> mercato </w:t>
      </w:r>
      <w:r w:rsidR="008570D7" w:rsidRPr="002F2963">
        <w:rPr>
          <w:rFonts w:ascii="Arial" w:hAnsi="Arial" w:cs="Arial"/>
          <w:b/>
          <w:bCs/>
          <w:color w:val="000000" w:themeColor="text1"/>
          <w:sz w:val="20"/>
        </w:rPr>
        <w:t>ester</w:t>
      </w:r>
      <w:r w:rsidRPr="002F2963">
        <w:rPr>
          <w:rFonts w:ascii="Arial" w:hAnsi="Arial" w:cs="Arial"/>
          <w:b/>
          <w:bCs/>
          <w:color w:val="000000" w:themeColor="text1"/>
          <w:sz w:val="20"/>
        </w:rPr>
        <w:t>o</w:t>
      </w:r>
      <w:r w:rsidR="008570D7" w:rsidRPr="002F2963">
        <w:rPr>
          <w:rFonts w:ascii="Arial" w:hAnsi="Arial" w:cs="Arial"/>
          <w:color w:val="000000" w:themeColor="text1"/>
          <w:sz w:val="20"/>
        </w:rPr>
        <w:t>; saranno in</w:t>
      </w:r>
      <w:r w:rsidR="00762E78">
        <w:rPr>
          <w:rFonts w:ascii="Arial" w:hAnsi="Arial" w:cs="Arial"/>
          <w:color w:val="000000" w:themeColor="text1"/>
          <w:sz w:val="20"/>
        </w:rPr>
        <w:t>vece in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 contrazione per il </w:t>
      </w:r>
      <w:r w:rsidRPr="002F2963">
        <w:rPr>
          <w:rFonts w:ascii="Arial" w:hAnsi="Arial" w:cs="Arial"/>
          <w:color w:val="000000" w:themeColor="text1"/>
          <w:sz w:val="20"/>
        </w:rPr>
        <w:t>38 per cento</w:t>
      </w:r>
      <w:r w:rsidR="00762E78">
        <w:rPr>
          <w:rFonts w:ascii="Arial" w:hAnsi="Arial" w:cs="Arial"/>
          <w:color w:val="000000" w:themeColor="text1"/>
          <w:sz w:val="20"/>
        </w:rPr>
        <w:t>,</w:t>
      </w:r>
      <w:r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mentre il 24 per cento </w:t>
      </w:r>
      <w:r w:rsidR="00762E78">
        <w:rPr>
          <w:rFonts w:ascii="Arial" w:hAnsi="Arial" w:cs="Arial"/>
          <w:color w:val="000000" w:themeColor="text1"/>
          <w:sz w:val="20"/>
        </w:rPr>
        <w:t>crede in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 una ulteriore crescita. </w:t>
      </w:r>
      <w:r w:rsidR="00762E78">
        <w:rPr>
          <w:rFonts w:ascii="Arial" w:hAnsi="Arial" w:cs="Arial"/>
          <w:color w:val="000000" w:themeColor="text1"/>
          <w:sz w:val="20"/>
        </w:rPr>
        <w:t>Sul fronte del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="008570D7" w:rsidRPr="002F2963">
        <w:rPr>
          <w:rFonts w:ascii="Arial" w:hAnsi="Arial" w:cs="Arial"/>
          <w:b/>
          <w:color w:val="000000" w:themeColor="text1"/>
          <w:sz w:val="20"/>
        </w:rPr>
        <w:t>mercato interno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 il</w:t>
      </w:r>
      <w:r w:rsidR="00762E78">
        <w:rPr>
          <w:rFonts w:ascii="Arial" w:hAnsi="Arial" w:cs="Arial"/>
          <w:color w:val="000000" w:themeColor="text1"/>
          <w:sz w:val="20"/>
        </w:rPr>
        <w:t xml:space="preserve"> 57 per cento degli intervistati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="00762E78">
        <w:rPr>
          <w:rFonts w:ascii="Arial" w:hAnsi="Arial" w:cs="Arial"/>
          <w:color w:val="000000" w:themeColor="text1"/>
          <w:sz w:val="20"/>
        </w:rPr>
        <w:t>propende per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 una sostanziale stabilità, il 19 per cento </w:t>
      </w:r>
      <w:r w:rsidR="00762E78">
        <w:rPr>
          <w:rFonts w:ascii="Arial" w:hAnsi="Arial" w:cs="Arial"/>
          <w:color w:val="000000" w:themeColor="text1"/>
          <w:sz w:val="20"/>
        </w:rPr>
        <w:t xml:space="preserve">per 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un aumento degli ordini e </w:t>
      </w:r>
      <w:bookmarkStart w:id="0" w:name="_GoBack"/>
      <w:bookmarkEnd w:id="0"/>
      <w:r w:rsidR="008570D7" w:rsidRPr="002F2963">
        <w:rPr>
          <w:rFonts w:ascii="Arial" w:hAnsi="Arial" w:cs="Arial"/>
          <w:color w:val="000000" w:themeColor="text1"/>
          <w:sz w:val="20"/>
        </w:rPr>
        <w:t xml:space="preserve">il </w:t>
      </w:r>
      <w:r w:rsidR="00A004C4">
        <w:rPr>
          <w:rFonts w:ascii="Arial" w:hAnsi="Arial" w:cs="Arial"/>
          <w:color w:val="000000" w:themeColor="text1"/>
          <w:sz w:val="20"/>
        </w:rPr>
        <w:t>2</w:t>
      </w:r>
      <w:r w:rsidR="009B47DD">
        <w:rPr>
          <w:rFonts w:ascii="Arial" w:hAnsi="Arial" w:cs="Arial"/>
          <w:color w:val="000000" w:themeColor="text1"/>
          <w:sz w:val="20"/>
        </w:rPr>
        <w:t>4</w:t>
      </w:r>
      <w:r w:rsidR="008570D7" w:rsidRPr="002F2963">
        <w:rPr>
          <w:rFonts w:ascii="Arial" w:hAnsi="Arial" w:cs="Arial"/>
          <w:color w:val="000000" w:themeColor="text1"/>
          <w:sz w:val="20"/>
        </w:rPr>
        <w:t xml:space="preserve"> per cento </w:t>
      </w:r>
      <w:r w:rsidR="00762E78">
        <w:rPr>
          <w:rFonts w:ascii="Arial" w:hAnsi="Arial" w:cs="Arial"/>
          <w:color w:val="000000" w:themeColor="text1"/>
          <w:sz w:val="20"/>
        </w:rPr>
        <w:t>per u</w:t>
      </w:r>
      <w:r w:rsidR="008570D7" w:rsidRPr="002F2963">
        <w:rPr>
          <w:rFonts w:ascii="Arial" w:hAnsi="Arial" w:cs="Arial"/>
          <w:color w:val="000000" w:themeColor="text1"/>
          <w:sz w:val="20"/>
        </w:rPr>
        <w:t>na contrazione.</w:t>
      </w:r>
    </w:p>
    <w:p w14:paraId="30E2CE92" w14:textId="77777777" w:rsidR="008570D7" w:rsidRPr="002F2963" w:rsidRDefault="008570D7" w:rsidP="008570D7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0848695E" w14:textId="77777777" w:rsidR="008570D7" w:rsidRPr="002F2963" w:rsidRDefault="008570D7" w:rsidP="008570D7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081B930E" w14:textId="77777777" w:rsidR="008570D7" w:rsidRPr="002F2963" w:rsidRDefault="008570D7" w:rsidP="00762E78">
      <w:pPr>
        <w:rPr>
          <w:rFonts w:ascii="Arial" w:hAnsi="Arial" w:cs="Arial"/>
          <w:color w:val="000000" w:themeColor="text1"/>
          <w:sz w:val="20"/>
        </w:rPr>
      </w:pPr>
    </w:p>
    <w:p w14:paraId="6BDCCF7E" w14:textId="47FF86CA" w:rsidR="00840088" w:rsidRPr="002F2963" w:rsidRDefault="00840088" w:rsidP="008570D7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i/>
          <w:color w:val="000000" w:themeColor="text1"/>
          <w:sz w:val="20"/>
        </w:rPr>
        <w:t xml:space="preserve">Per </w:t>
      </w:r>
      <w:proofErr w:type="gramStart"/>
      <w:r w:rsidRPr="002F2963">
        <w:rPr>
          <w:rFonts w:ascii="Arial" w:hAnsi="Arial" w:cs="Arial"/>
          <w:i/>
          <w:color w:val="000000" w:themeColor="text1"/>
          <w:sz w:val="20"/>
        </w:rPr>
        <w:t>ulteriori</w:t>
      </w:r>
      <w:proofErr w:type="gramEnd"/>
      <w:r w:rsidRPr="002F2963">
        <w:rPr>
          <w:rFonts w:ascii="Arial" w:hAnsi="Arial" w:cs="Arial"/>
          <w:i/>
          <w:color w:val="000000" w:themeColor="text1"/>
          <w:sz w:val="20"/>
        </w:rPr>
        <w:t xml:space="preserve"> informazioni:</w:t>
      </w:r>
    </w:p>
    <w:p w14:paraId="1110F91B" w14:textId="77777777" w:rsidR="00840088" w:rsidRPr="002F2963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2F2963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C95E79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/>
          <w:color w:val="000000" w:themeColor="text1"/>
          <w:sz w:val="20"/>
          <w:u w:val="single"/>
        </w:rPr>
      </w:pPr>
      <w:r w:rsidRPr="002F2963">
        <w:rPr>
          <w:rFonts w:ascii="Arial" w:hAnsi="Arial" w:cs="Arial"/>
          <w:color w:val="000000" w:themeColor="text1"/>
          <w:sz w:val="20"/>
        </w:rPr>
        <w:t>+39 3</w:t>
      </w:r>
      <w:r w:rsidR="0068221D" w:rsidRPr="002F2963">
        <w:rPr>
          <w:rFonts w:ascii="Arial" w:hAnsi="Arial" w:cs="Arial"/>
          <w:color w:val="000000" w:themeColor="text1"/>
          <w:sz w:val="20"/>
        </w:rPr>
        <w:t>51</w:t>
      </w:r>
      <w:r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2F2963">
        <w:rPr>
          <w:rFonts w:ascii="Arial" w:hAnsi="Arial" w:cs="Arial"/>
          <w:color w:val="000000" w:themeColor="text1"/>
          <w:sz w:val="20"/>
        </w:rPr>
        <w:t>9098189</w:t>
      </w:r>
      <w:r w:rsidRPr="002F2963">
        <w:rPr>
          <w:rFonts w:ascii="Arial" w:hAnsi="Arial" w:cs="Arial"/>
          <w:color w:val="000000" w:themeColor="text1"/>
          <w:sz w:val="20"/>
        </w:rPr>
        <w:t xml:space="preserve"> - </w:t>
      </w:r>
      <w:hyperlink r:id="rId9" w:history="1">
        <w:r w:rsidRPr="002F2963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C95E79" w:rsidSect="008570D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38379" w14:textId="77777777" w:rsidR="002F2963" w:rsidRDefault="002F2963">
      <w:r>
        <w:separator/>
      </w:r>
    </w:p>
  </w:endnote>
  <w:endnote w:type="continuationSeparator" w:id="0">
    <w:p w14:paraId="4D70B108" w14:textId="77777777" w:rsidR="002F2963" w:rsidRDefault="002F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75BF6" w14:textId="77777777" w:rsidR="002F2963" w:rsidRDefault="002F29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2F2963" w:rsidRDefault="002F2963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B5DE1" w14:textId="77777777" w:rsidR="002F2963" w:rsidRDefault="002F2963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2F2963" w:rsidRDefault="002F2963">
    <w:pPr>
      <w:pStyle w:val="Pidipagina"/>
      <w:ind w:right="360"/>
    </w:pPr>
    <w:r>
      <w:t xml:space="preserve">   </w:t>
    </w:r>
  </w:p>
  <w:p w14:paraId="676EE327" w14:textId="196C1161" w:rsidR="002F2963" w:rsidRDefault="002F2963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B1D6" w14:textId="77777777" w:rsidR="002F2963" w:rsidRDefault="002F2963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3929E" w14:textId="77777777" w:rsidR="002F2963" w:rsidRDefault="002F2963">
      <w:r>
        <w:separator/>
      </w:r>
    </w:p>
  </w:footnote>
  <w:footnote w:type="continuationSeparator" w:id="0">
    <w:p w14:paraId="5ADD5B46" w14:textId="77777777" w:rsidR="002F2963" w:rsidRDefault="002F29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CE48" w14:textId="6DC56FCB" w:rsidR="002F2963" w:rsidRDefault="002F2963">
    <w:pPr>
      <w:pStyle w:val="Intestazione"/>
      <w:ind w:left="360"/>
    </w:pPr>
  </w:p>
  <w:p w14:paraId="302658E1" w14:textId="77777777" w:rsidR="002F2963" w:rsidRDefault="002F2963">
    <w:pPr>
      <w:pStyle w:val="Intestazione"/>
      <w:ind w:left="360"/>
    </w:pPr>
  </w:p>
  <w:p w14:paraId="4A2C7678" w14:textId="77777777" w:rsidR="002F2963" w:rsidRDefault="002F2963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8B4B7" w14:textId="39D9834C" w:rsidR="002F2963" w:rsidRDefault="002F2963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31"/>
    <w:rsid w:val="0001539F"/>
    <w:rsid w:val="0001721B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0621"/>
    <w:rsid w:val="001812CA"/>
    <w:rsid w:val="00181DE3"/>
    <w:rsid w:val="00194570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2963"/>
    <w:rsid w:val="002F5769"/>
    <w:rsid w:val="00304533"/>
    <w:rsid w:val="00305B4C"/>
    <w:rsid w:val="00307139"/>
    <w:rsid w:val="00313979"/>
    <w:rsid w:val="00326C06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73F0"/>
    <w:rsid w:val="003B059D"/>
    <w:rsid w:val="003B109F"/>
    <w:rsid w:val="003D3CCC"/>
    <w:rsid w:val="003F1E14"/>
    <w:rsid w:val="003F371B"/>
    <w:rsid w:val="0040219C"/>
    <w:rsid w:val="0040679A"/>
    <w:rsid w:val="00406AB7"/>
    <w:rsid w:val="00416C21"/>
    <w:rsid w:val="00423CEB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C4277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4C94"/>
    <w:rsid w:val="005D6503"/>
    <w:rsid w:val="005D6F46"/>
    <w:rsid w:val="005D7B5B"/>
    <w:rsid w:val="005E5302"/>
    <w:rsid w:val="005F5DB2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0D6D"/>
    <w:rsid w:val="00724BEA"/>
    <w:rsid w:val="00736007"/>
    <w:rsid w:val="007443A2"/>
    <w:rsid w:val="00760EDC"/>
    <w:rsid w:val="007611D0"/>
    <w:rsid w:val="00762E78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0F6A"/>
    <w:rsid w:val="0080513A"/>
    <w:rsid w:val="00807D67"/>
    <w:rsid w:val="00840088"/>
    <w:rsid w:val="00840B4A"/>
    <w:rsid w:val="008570D7"/>
    <w:rsid w:val="00865C7A"/>
    <w:rsid w:val="0086642A"/>
    <w:rsid w:val="0087060B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0DF"/>
    <w:rsid w:val="00972D3C"/>
    <w:rsid w:val="00973A6D"/>
    <w:rsid w:val="00975B1A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E5E5C"/>
    <w:rsid w:val="00A004C4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4D14"/>
    <w:rsid w:val="00AB77FB"/>
    <w:rsid w:val="00AB7930"/>
    <w:rsid w:val="00AE1B9E"/>
    <w:rsid w:val="00AE51EF"/>
    <w:rsid w:val="00AF50EF"/>
    <w:rsid w:val="00B024BA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4852"/>
    <w:rsid w:val="00C07008"/>
    <w:rsid w:val="00C10DE6"/>
    <w:rsid w:val="00C12950"/>
    <w:rsid w:val="00C41993"/>
    <w:rsid w:val="00C435AF"/>
    <w:rsid w:val="00C441DA"/>
    <w:rsid w:val="00C54EF3"/>
    <w:rsid w:val="00C55169"/>
    <w:rsid w:val="00C60722"/>
    <w:rsid w:val="00C639FC"/>
    <w:rsid w:val="00C91D54"/>
    <w:rsid w:val="00C95E79"/>
    <w:rsid w:val="00C96A6C"/>
    <w:rsid w:val="00CB70B1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3BC7"/>
    <w:rsid w:val="00DE3DFA"/>
    <w:rsid w:val="00E04E31"/>
    <w:rsid w:val="00E07556"/>
    <w:rsid w:val="00E12D44"/>
    <w:rsid w:val="00E2671D"/>
    <w:rsid w:val="00E26F68"/>
    <w:rsid w:val="00E6024D"/>
    <w:rsid w:val="00E60591"/>
    <w:rsid w:val="00E65415"/>
    <w:rsid w:val="00E655B9"/>
    <w:rsid w:val="00E66C6E"/>
    <w:rsid w:val="00EA05AD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64584"/>
    <w:rsid w:val="00F7011C"/>
    <w:rsid w:val="00F76DF4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index 1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del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atterepredefinitoparagrafo"/>
    <w:rsid w:val="002F11D9"/>
  </w:style>
  <w:style w:type="character" w:styleId="Collegamentoipertestuale">
    <w:name w:val="Hyperlink"/>
    <w:basedOn w:val="Carattere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Bloccoditest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attere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index 1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del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atterepredefinitoparagrafo"/>
    <w:rsid w:val="002F11D9"/>
  </w:style>
  <w:style w:type="character" w:styleId="Collegamentoipertestuale">
    <w:name w:val="Hyperlink"/>
    <w:basedOn w:val="Carattere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Bloccoditest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attere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press@acimall.com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\WINDOWS\Application Data\Microsoft\Modelli\fax-acimall.dot</Template>
  <TotalTime>162</TotalTime>
  <Pages>1</Pages>
  <Words>535</Words>
  <Characters>3051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3579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Rossetti Luca</cp:lastModifiedBy>
  <cp:revision>49</cp:revision>
  <cp:lastPrinted>2022-02-14T16:33:00Z</cp:lastPrinted>
  <dcterms:created xsi:type="dcterms:W3CDTF">2020-10-23T13:40:00Z</dcterms:created>
  <dcterms:modified xsi:type="dcterms:W3CDTF">2023-05-08T09:44:00Z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