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9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4"/>
        <w:gridCol w:w="3332"/>
        <w:gridCol w:w="2493"/>
      </w:tblGrid>
      <w:tr w:rsidR="00C12950" w14:paraId="4006D47A" w14:textId="77777777" w:rsidTr="00A029E7">
        <w:trPr>
          <w:trHeight w:val="540"/>
        </w:trPr>
        <w:tc>
          <w:tcPr>
            <w:tcW w:w="3184" w:type="dxa"/>
          </w:tcPr>
          <w:p w14:paraId="4A7DB992" w14:textId="6A1F3136" w:rsidR="00C12950" w:rsidRPr="00597D37" w:rsidRDefault="00A029E7" w:rsidP="00A029E7">
            <w:pPr>
              <w:tabs>
                <w:tab w:val="left" w:pos="-430"/>
              </w:tabs>
              <w:ind w:left="-4" w:right="212"/>
              <w:jc w:val="both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E05D070" wp14:editId="7BBC2007">
                  <wp:extent cx="1865630" cy="438311"/>
                  <wp:effectExtent l="0" t="0" r="0" b="0"/>
                  <wp:docPr id="2" name="Immagine 2" descr="MacBook Pro HD:Users:lucarossetti:Desktop:ACIMALL new 2019:LOGO_ACIMALL senza bi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Book Pro HD:Users:lucarossetti:Desktop:ACIMALL new 2019:LOGO_ACIMALL senza bi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438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</w:tcPr>
          <w:p w14:paraId="5444F25A" w14:textId="77777777" w:rsidR="00C12950" w:rsidRDefault="00C12950" w:rsidP="00A029E7">
            <w:pPr>
              <w:pStyle w:val="Titolo1"/>
              <w:ind w:right="212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Acimall</w:t>
            </w:r>
            <w:proofErr w:type="spellEnd"/>
          </w:p>
          <w:p w14:paraId="74123824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Centro Direzionale </w:t>
            </w:r>
            <w:proofErr w:type="spellStart"/>
            <w:r>
              <w:rPr>
                <w:rFonts w:ascii="Helvetica" w:hAnsi="Helvetica"/>
                <w:sz w:val="16"/>
              </w:rPr>
              <w:t>Milanofiori</w:t>
            </w:r>
            <w:proofErr w:type="spellEnd"/>
          </w:p>
          <w:p w14:paraId="7A00A7EC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Strada</w:t>
            </w:r>
            <w:r w:rsidR="000C5C5F">
              <w:rPr>
                <w:rFonts w:ascii="Helvetica" w:hAnsi="Helvetica"/>
                <w:sz w:val="16"/>
              </w:rPr>
              <w:t xml:space="preserve"> 1</w:t>
            </w:r>
            <w:r>
              <w:rPr>
                <w:rFonts w:ascii="Helvetica" w:hAnsi="Helvetica"/>
                <w:sz w:val="16"/>
              </w:rPr>
              <w:t xml:space="preserve"> - Palazzo F3</w:t>
            </w:r>
          </w:p>
          <w:p w14:paraId="063709D7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I-20090 Assago (Milano)</w:t>
            </w:r>
          </w:p>
          <w:p w14:paraId="08812F63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phone +39 02 89210200</w:t>
            </w:r>
          </w:p>
          <w:p w14:paraId="5F0397DE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fax +39 02 8259009</w:t>
            </w:r>
          </w:p>
          <w:p w14:paraId="27E6149D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www.acimall.com</w:t>
            </w:r>
          </w:p>
          <w:p w14:paraId="40B19344" w14:textId="77777777" w:rsidR="00C12950" w:rsidRDefault="00C12950" w:rsidP="00A029E7">
            <w:pPr>
              <w:ind w:right="212"/>
              <w:jc w:val="both"/>
            </w:pPr>
            <w:r>
              <w:rPr>
                <w:rFonts w:ascii="Helvetica" w:hAnsi="Helvetica"/>
                <w:sz w:val="16"/>
              </w:rPr>
              <w:t>info@acimall.com</w:t>
            </w:r>
          </w:p>
        </w:tc>
        <w:tc>
          <w:tcPr>
            <w:tcW w:w="2493" w:type="dxa"/>
          </w:tcPr>
          <w:p w14:paraId="776B756F" w14:textId="3101CCB7" w:rsidR="00C12950" w:rsidRDefault="003D3CCC" w:rsidP="008E444A">
            <w:pPr>
              <w:ind w:left="-142" w:right="212"/>
              <w:jc w:val="right"/>
              <w:rPr>
                <w:rFonts w:ascii="Helvetica" w:hAnsi="Helvetica"/>
                <w:b/>
                <w:sz w:val="28"/>
              </w:rPr>
            </w:pPr>
            <w:r>
              <w:rPr>
                <w:rFonts w:ascii="Helvetica" w:hAnsi="Helvetica"/>
                <w:b/>
                <w:w w:val="108"/>
                <w:kern w:val="22"/>
                <w:sz w:val="28"/>
              </w:rPr>
              <w:t xml:space="preserve"> </w:t>
            </w:r>
            <w:r w:rsidR="00C12950">
              <w:rPr>
                <w:rFonts w:ascii="Helvetica" w:hAnsi="Helvetica"/>
                <w:b/>
                <w:w w:val="108"/>
                <w:kern w:val="22"/>
                <w:sz w:val="28"/>
              </w:rPr>
              <w:t xml:space="preserve">ufficio </w:t>
            </w:r>
            <w:r w:rsidR="00C12950">
              <w:rPr>
                <w:rFonts w:ascii="Helvetica" w:hAnsi="Helvetica"/>
                <w:b/>
                <w:sz w:val="28"/>
              </w:rPr>
              <w:t>stampa</w:t>
            </w:r>
          </w:p>
          <w:p w14:paraId="70852C71" w14:textId="13D9FE7C" w:rsidR="00C12950" w:rsidRDefault="00D0397B" w:rsidP="00D0397B">
            <w:pPr>
              <w:ind w:left="-142" w:right="212"/>
              <w:jc w:val="right"/>
              <w:rPr>
                <w:rFonts w:ascii="Gill Sans MT" w:hAnsi="Gill Sans MT"/>
                <w:b/>
                <w:sz w:val="14"/>
              </w:rPr>
            </w:pPr>
            <w:r>
              <w:rPr>
                <w:rFonts w:ascii="Helvetica" w:hAnsi="Helvetica"/>
                <w:sz w:val="14"/>
              </w:rPr>
              <w:t>16 febbraio</w:t>
            </w:r>
            <w:r w:rsidR="005D6F46">
              <w:rPr>
                <w:rFonts w:ascii="Helvetica" w:hAnsi="Helvetica"/>
                <w:sz w:val="14"/>
              </w:rPr>
              <w:t xml:space="preserve"> 202</w:t>
            </w:r>
            <w:r>
              <w:rPr>
                <w:rFonts w:ascii="Helvetica" w:hAnsi="Helvetica"/>
                <w:sz w:val="14"/>
              </w:rPr>
              <w:t>2</w:t>
            </w:r>
          </w:p>
        </w:tc>
      </w:tr>
    </w:tbl>
    <w:p w14:paraId="611215AC" w14:textId="77777777" w:rsidR="00C12950" w:rsidRDefault="00C12950" w:rsidP="00C12950">
      <w:pPr>
        <w:jc w:val="both"/>
        <w:rPr>
          <w:rFonts w:ascii="Arial" w:hAnsi="Arial"/>
          <w:sz w:val="20"/>
        </w:rPr>
      </w:pPr>
    </w:p>
    <w:p w14:paraId="0DD66105" w14:textId="77777777" w:rsidR="00C12950" w:rsidRPr="00B33B48" w:rsidRDefault="00C12950" w:rsidP="00B33B48">
      <w:pPr>
        <w:ind w:left="426"/>
        <w:jc w:val="both"/>
        <w:rPr>
          <w:rFonts w:ascii="Arial" w:hAnsi="Arial" w:cs="Arial"/>
          <w:sz w:val="20"/>
        </w:rPr>
      </w:pPr>
    </w:p>
    <w:p w14:paraId="302BE59F" w14:textId="77777777" w:rsidR="00BD4E9A" w:rsidRPr="00B33B48" w:rsidRDefault="00BD4E9A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4AF431D0" w14:textId="77777777" w:rsidR="001D79A8" w:rsidRDefault="001D79A8" w:rsidP="00A76779">
      <w:pPr>
        <w:jc w:val="both"/>
        <w:rPr>
          <w:rFonts w:ascii="Arial" w:hAnsi="Arial" w:cs="Arial"/>
          <w:b/>
          <w:sz w:val="20"/>
        </w:rPr>
      </w:pPr>
    </w:p>
    <w:p w14:paraId="1527D40E" w14:textId="00AD6CED" w:rsidR="001D79A8" w:rsidRDefault="001D79A8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18386A96" w14:textId="77777777" w:rsidR="00EF3187" w:rsidRDefault="00EF3187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44DF9640" w14:textId="77777777" w:rsidR="009D300B" w:rsidRDefault="009D300B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2C1204A0" w14:textId="4A48299E" w:rsidR="001670C8" w:rsidRDefault="001670C8" w:rsidP="00A76779">
      <w:pPr>
        <w:jc w:val="both"/>
        <w:rPr>
          <w:rFonts w:ascii="Arial" w:hAnsi="Arial" w:cs="Arial"/>
          <w:b/>
          <w:sz w:val="20"/>
        </w:rPr>
      </w:pPr>
    </w:p>
    <w:p w14:paraId="4D7174C7" w14:textId="77777777" w:rsidR="001670C8" w:rsidRPr="00B33B48" w:rsidRDefault="001670C8" w:rsidP="00A76779">
      <w:pPr>
        <w:jc w:val="both"/>
        <w:rPr>
          <w:rFonts w:ascii="Arial" w:hAnsi="Arial" w:cs="Arial"/>
          <w:b/>
          <w:sz w:val="20"/>
        </w:rPr>
      </w:pPr>
    </w:p>
    <w:p w14:paraId="1A40873F" w14:textId="290D8F2C" w:rsidR="00BC3417" w:rsidRDefault="008F4FEF" w:rsidP="008F4FEF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  <w:r w:rsidRPr="008F4FEF">
        <w:rPr>
          <w:rFonts w:ascii="Arial" w:hAnsi="Arial" w:cs="Arial"/>
          <w:b/>
          <w:color w:val="000000" w:themeColor="text1"/>
          <w:sz w:val="20"/>
        </w:rPr>
        <w:t>TECNOLOGIE PER IL LEGNO</w:t>
      </w:r>
      <w:r>
        <w:rPr>
          <w:rFonts w:ascii="Arial" w:hAnsi="Arial" w:cs="Arial"/>
          <w:b/>
          <w:color w:val="000000" w:themeColor="text1"/>
          <w:sz w:val="20"/>
        </w:rPr>
        <w:t xml:space="preserve">: </w:t>
      </w:r>
      <w:r w:rsidR="00D0397B">
        <w:rPr>
          <w:rFonts w:ascii="Arial" w:hAnsi="Arial" w:cs="Arial"/>
          <w:b/>
          <w:color w:val="000000" w:themeColor="text1"/>
          <w:sz w:val="20"/>
        </w:rPr>
        <w:t>UN</w:t>
      </w:r>
      <w:r w:rsidR="000E4BEE">
        <w:rPr>
          <w:rFonts w:ascii="Arial" w:hAnsi="Arial" w:cs="Arial"/>
          <w:b/>
          <w:color w:val="000000" w:themeColor="text1"/>
          <w:sz w:val="20"/>
        </w:rPr>
        <w:t xml:space="preserve"> </w:t>
      </w:r>
      <w:r w:rsidR="005D6F46">
        <w:rPr>
          <w:rFonts w:ascii="Arial" w:hAnsi="Arial" w:cs="Arial"/>
          <w:b/>
          <w:color w:val="000000" w:themeColor="text1"/>
          <w:sz w:val="20"/>
        </w:rPr>
        <w:t>QUARTO</w:t>
      </w:r>
      <w:r w:rsidR="000E4BEE">
        <w:rPr>
          <w:rFonts w:ascii="Arial" w:hAnsi="Arial" w:cs="Arial"/>
          <w:b/>
          <w:color w:val="000000" w:themeColor="text1"/>
          <w:sz w:val="20"/>
        </w:rPr>
        <w:t xml:space="preserve"> TRIMESTRE 202</w:t>
      </w:r>
      <w:r w:rsidR="00D0397B">
        <w:rPr>
          <w:rFonts w:ascii="Arial" w:hAnsi="Arial" w:cs="Arial"/>
          <w:b/>
          <w:color w:val="000000" w:themeColor="text1"/>
          <w:sz w:val="20"/>
        </w:rPr>
        <w:t>1 “ESTREMAMENTE POSITIVO”!</w:t>
      </w:r>
    </w:p>
    <w:p w14:paraId="7C63C18B" w14:textId="1499E318" w:rsidR="007E06BB" w:rsidRDefault="007E06BB" w:rsidP="00D10A5D">
      <w:pPr>
        <w:tabs>
          <w:tab w:val="left" w:pos="142"/>
        </w:tabs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6EA9B94D" w14:textId="77777777" w:rsidR="001670C8" w:rsidRPr="008F4FEF" w:rsidRDefault="001670C8" w:rsidP="008F4FEF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734D89D4" w14:textId="77777777" w:rsidR="00EF3187" w:rsidRPr="005D6F46" w:rsidRDefault="00EF3187" w:rsidP="000A33AA">
      <w:pPr>
        <w:tabs>
          <w:tab w:val="left" w:pos="142"/>
          <w:tab w:val="left" w:pos="426"/>
        </w:tabs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6B55BE51" w14:textId="71B6BACF" w:rsidR="00D0397B" w:rsidRDefault="00E65415" w:rsidP="005D6F46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 w:rsidRPr="005D6F46">
        <w:rPr>
          <w:rFonts w:ascii="Arial" w:hAnsi="Arial" w:cs="Arial"/>
          <w:color w:val="000000" w:themeColor="text1"/>
          <w:sz w:val="20"/>
        </w:rPr>
        <w:t>I</w:t>
      </w:r>
      <w:r w:rsidR="00D0397B">
        <w:rPr>
          <w:rFonts w:ascii="Arial" w:hAnsi="Arial" w:cs="Arial"/>
          <w:color w:val="000000" w:themeColor="text1"/>
          <w:sz w:val="20"/>
        </w:rPr>
        <w:t>I 2021 ha dimostrato nei fatti quanto l’emergenza pandemica abbia rappresentato anche una fase di forte stimolo alla produzione, in molti settori</w:t>
      </w:r>
      <w:r w:rsidR="00EA05AD">
        <w:rPr>
          <w:rFonts w:ascii="Arial" w:hAnsi="Arial" w:cs="Arial"/>
          <w:color w:val="000000" w:themeColor="text1"/>
          <w:sz w:val="20"/>
        </w:rPr>
        <w:t>.</w:t>
      </w:r>
      <w:r w:rsidR="00D0397B">
        <w:rPr>
          <w:rFonts w:ascii="Arial" w:hAnsi="Arial" w:cs="Arial"/>
          <w:color w:val="000000" w:themeColor="text1"/>
          <w:sz w:val="20"/>
        </w:rPr>
        <w:t xml:space="preserve"> Fra questi indubbiamente il mondo delle macchine, degli impianti, delle attrezzature e degli utensili per la lavorazione del legno e dei suoi derivati, che ha vissuto un 2021 estremamente “stimolante”, con </w:t>
      </w:r>
      <w:r w:rsidR="00EA05AD">
        <w:rPr>
          <w:rFonts w:ascii="Arial" w:hAnsi="Arial" w:cs="Arial"/>
          <w:color w:val="000000" w:themeColor="text1"/>
          <w:sz w:val="20"/>
        </w:rPr>
        <w:t>una</w:t>
      </w:r>
      <w:r w:rsidR="00D0397B">
        <w:rPr>
          <w:rFonts w:ascii="Arial" w:hAnsi="Arial" w:cs="Arial"/>
          <w:color w:val="000000" w:themeColor="text1"/>
          <w:sz w:val="20"/>
        </w:rPr>
        <w:t xml:space="preserve"> crescita degli ordini difficilmente immaginabil</w:t>
      </w:r>
      <w:r w:rsidR="00EA05AD">
        <w:rPr>
          <w:rFonts w:ascii="Arial" w:hAnsi="Arial" w:cs="Arial"/>
          <w:color w:val="000000" w:themeColor="text1"/>
          <w:sz w:val="20"/>
        </w:rPr>
        <w:t>e</w:t>
      </w:r>
      <w:r w:rsidR="00D0397B">
        <w:rPr>
          <w:rFonts w:ascii="Arial" w:hAnsi="Arial" w:cs="Arial"/>
          <w:color w:val="000000" w:themeColor="text1"/>
          <w:sz w:val="20"/>
        </w:rPr>
        <w:t>.</w:t>
      </w:r>
    </w:p>
    <w:p w14:paraId="0A299455" w14:textId="77777777" w:rsidR="00EA05AD" w:rsidRDefault="00EA05AD" w:rsidP="005D6F46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782C418A" w14:textId="2F755409" w:rsidR="00EA05AD" w:rsidRDefault="00EA05AD" w:rsidP="005D6F46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Il periodo ottobre-dicembre 2021 ha indubbiamente presentato risultati meno “tumultuosi”</w:t>
      </w:r>
      <w:r w:rsidR="00D42442">
        <w:rPr>
          <w:rFonts w:ascii="Arial" w:hAnsi="Arial" w:cs="Arial"/>
          <w:color w:val="000000" w:themeColor="text1"/>
          <w:sz w:val="20"/>
        </w:rPr>
        <w:t xml:space="preserve"> rispetto agli altri trimestri,</w:t>
      </w:r>
      <w:r>
        <w:rPr>
          <w:rFonts w:ascii="Arial" w:hAnsi="Arial" w:cs="Arial"/>
          <w:color w:val="000000" w:themeColor="text1"/>
          <w:sz w:val="20"/>
        </w:rPr>
        <w:t xml:space="preserve"> ma pur sempre assolutamente eccellenti: gli </w:t>
      </w:r>
      <w:r w:rsidRPr="00EA05AD">
        <w:rPr>
          <w:rFonts w:ascii="Arial" w:hAnsi="Arial" w:cs="Arial"/>
          <w:b/>
          <w:color w:val="000000" w:themeColor="text1"/>
          <w:sz w:val="20"/>
        </w:rPr>
        <w:t>ordini</w:t>
      </w:r>
      <w:r>
        <w:rPr>
          <w:rFonts w:ascii="Arial" w:hAnsi="Arial" w:cs="Arial"/>
          <w:color w:val="000000" w:themeColor="text1"/>
          <w:sz w:val="20"/>
        </w:rPr>
        <w:t xml:space="preserve"> sono cresciuti del 41 per cento sullo stesso periodo 2020, grazie alla spinta di un ottimo più 60 per cento sul mercato interno e del 38,6 per cento registrato sui mercati mondiali. Una situazione che ha un rovescio della medaglia sul fronte della produzione, condizionata da </w:t>
      </w:r>
      <w:r w:rsidRPr="00EA05AD">
        <w:rPr>
          <w:rFonts w:ascii="Arial" w:hAnsi="Arial" w:cs="Arial"/>
          <w:b/>
          <w:color w:val="000000" w:themeColor="text1"/>
          <w:sz w:val="20"/>
        </w:rPr>
        <w:t>difficoltà di reperimento, rincari e ritardi</w:t>
      </w:r>
      <w:r>
        <w:rPr>
          <w:rFonts w:ascii="Arial" w:hAnsi="Arial" w:cs="Arial"/>
          <w:color w:val="000000" w:themeColor="text1"/>
          <w:sz w:val="20"/>
        </w:rPr>
        <w:t xml:space="preserve"> nei riforniment</w:t>
      </w:r>
      <w:r w:rsidR="00E12D44">
        <w:rPr>
          <w:rFonts w:ascii="Arial" w:hAnsi="Arial" w:cs="Arial"/>
          <w:color w:val="000000" w:themeColor="text1"/>
          <w:sz w:val="20"/>
        </w:rPr>
        <w:t>i di materie prime e componenti che potrebbero interessare</w:t>
      </w:r>
      <w:r>
        <w:rPr>
          <w:rFonts w:ascii="Arial" w:hAnsi="Arial" w:cs="Arial"/>
          <w:color w:val="000000" w:themeColor="text1"/>
          <w:sz w:val="20"/>
        </w:rPr>
        <w:t xml:space="preserve"> la prima parte dell’anno in corso.</w:t>
      </w:r>
    </w:p>
    <w:p w14:paraId="6F527F06" w14:textId="77777777" w:rsidR="00DE3BC7" w:rsidRPr="00FB5D0B" w:rsidRDefault="00DE3BC7" w:rsidP="00EA05AD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</w:rPr>
      </w:pPr>
    </w:p>
    <w:p w14:paraId="2D49E9F5" w14:textId="77777777" w:rsidR="00E12D44" w:rsidRDefault="00DE3BC7" w:rsidP="00C60722">
      <w:pPr>
        <w:ind w:left="426"/>
        <w:rPr>
          <w:rFonts w:ascii="Arial" w:hAnsi="Arial" w:cs="Arial"/>
          <w:color w:val="000000" w:themeColor="text1"/>
          <w:sz w:val="20"/>
        </w:rPr>
      </w:pPr>
      <w:r w:rsidRPr="00FB5D0B">
        <w:rPr>
          <w:rFonts w:ascii="Arial" w:hAnsi="Arial" w:cs="Arial"/>
          <w:color w:val="000000" w:themeColor="text1"/>
          <w:sz w:val="20"/>
        </w:rPr>
        <w:t>L’indagine trimestrale realizzata</w:t>
      </w:r>
      <w:r w:rsidR="004559D3" w:rsidRPr="00FB5D0B">
        <w:rPr>
          <w:rFonts w:ascii="Arial" w:hAnsi="Arial" w:cs="Arial"/>
          <w:color w:val="000000" w:themeColor="text1"/>
          <w:sz w:val="20"/>
        </w:rPr>
        <w:t xml:space="preserve"> dall’Ufficio studi di </w:t>
      </w:r>
      <w:proofErr w:type="spellStart"/>
      <w:r w:rsidR="004559D3" w:rsidRPr="00FB5D0B">
        <w:rPr>
          <w:rFonts w:ascii="Arial" w:hAnsi="Arial" w:cs="Arial"/>
          <w:color w:val="000000" w:themeColor="text1"/>
          <w:sz w:val="20"/>
        </w:rPr>
        <w:t>Acimall</w:t>
      </w:r>
      <w:proofErr w:type="spellEnd"/>
      <w:r w:rsidR="004559D3" w:rsidRPr="00FB5D0B">
        <w:rPr>
          <w:rFonts w:ascii="Arial" w:hAnsi="Arial" w:cs="Arial"/>
          <w:color w:val="000000" w:themeColor="text1"/>
          <w:sz w:val="20"/>
        </w:rPr>
        <w:t xml:space="preserve"> </w:t>
      </w:r>
      <w:r w:rsidR="00EA05AD">
        <w:rPr>
          <w:rFonts w:ascii="Arial" w:hAnsi="Arial" w:cs="Arial"/>
          <w:color w:val="000000" w:themeColor="text1"/>
          <w:sz w:val="20"/>
        </w:rPr>
        <w:t xml:space="preserve">– l’associazione che riunisce i costruttori di tecnologie per il legno – </w:t>
      </w:r>
      <w:r w:rsidRPr="00FB5D0B">
        <w:rPr>
          <w:rFonts w:ascii="Arial" w:hAnsi="Arial" w:cs="Arial"/>
          <w:color w:val="000000" w:themeColor="text1"/>
          <w:sz w:val="20"/>
        </w:rPr>
        <w:t>su un cam</w:t>
      </w:r>
      <w:r w:rsidR="004559D3" w:rsidRPr="00FB5D0B">
        <w:rPr>
          <w:rFonts w:ascii="Arial" w:hAnsi="Arial" w:cs="Arial"/>
          <w:color w:val="000000" w:themeColor="text1"/>
          <w:sz w:val="20"/>
        </w:rPr>
        <w:t>pione statistico significativo</w:t>
      </w:r>
      <w:r w:rsidRPr="00FB5D0B">
        <w:rPr>
          <w:rFonts w:ascii="Arial" w:hAnsi="Arial" w:cs="Arial"/>
          <w:color w:val="000000" w:themeColor="text1"/>
          <w:sz w:val="20"/>
        </w:rPr>
        <w:t xml:space="preserve"> </w:t>
      </w:r>
      <w:r w:rsidR="00EA05AD">
        <w:rPr>
          <w:rFonts w:ascii="Arial" w:hAnsi="Arial" w:cs="Arial"/>
          <w:color w:val="000000" w:themeColor="text1"/>
          <w:sz w:val="20"/>
        </w:rPr>
        <w:t>rivela che</w:t>
      </w:r>
      <w:r w:rsidR="00E12D44">
        <w:rPr>
          <w:rFonts w:ascii="Arial" w:hAnsi="Arial" w:cs="Arial"/>
          <w:color w:val="000000" w:themeColor="text1"/>
          <w:sz w:val="20"/>
        </w:rPr>
        <w:t xml:space="preserve"> </w:t>
      </w:r>
      <w:r w:rsidRPr="00FB5D0B">
        <w:rPr>
          <w:rFonts w:ascii="Arial" w:hAnsi="Arial" w:cs="Arial"/>
          <w:color w:val="000000" w:themeColor="text1"/>
          <w:sz w:val="20"/>
        </w:rPr>
        <w:t xml:space="preserve">il </w:t>
      </w:r>
      <w:r w:rsidRPr="00FB5D0B">
        <w:rPr>
          <w:rFonts w:ascii="Arial" w:hAnsi="Arial" w:cs="Arial"/>
          <w:b/>
          <w:bCs/>
          <w:color w:val="000000" w:themeColor="text1"/>
          <w:sz w:val="20"/>
        </w:rPr>
        <w:t>carnet ordini</w:t>
      </w:r>
      <w:r w:rsidRPr="00FB5D0B">
        <w:rPr>
          <w:rFonts w:ascii="Arial" w:hAnsi="Arial" w:cs="Arial"/>
          <w:color w:val="000000" w:themeColor="text1"/>
          <w:sz w:val="20"/>
        </w:rPr>
        <w:t xml:space="preserve"> è pari a </w:t>
      </w:r>
      <w:r w:rsidR="00EA05AD">
        <w:rPr>
          <w:rFonts w:ascii="Arial" w:hAnsi="Arial" w:cs="Arial"/>
          <w:color w:val="000000" w:themeColor="text1"/>
          <w:sz w:val="20"/>
        </w:rPr>
        <w:t xml:space="preserve">6,1 mesi, un dato che non si riscontrava nelle analisi periodiche da molto tempo. </w:t>
      </w:r>
    </w:p>
    <w:p w14:paraId="7A280992" w14:textId="07A11F85" w:rsidR="00EA05AD" w:rsidRDefault="00EA05AD" w:rsidP="00C60722">
      <w:pPr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La </w:t>
      </w:r>
      <w:r w:rsidRPr="00EA05AD">
        <w:rPr>
          <w:rFonts w:ascii="Arial" w:hAnsi="Arial" w:cs="Arial"/>
          <w:b/>
          <w:color w:val="000000" w:themeColor="text1"/>
          <w:sz w:val="20"/>
        </w:rPr>
        <w:t>variazione dei prezzi</w:t>
      </w:r>
      <w:r>
        <w:rPr>
          <w:rFonts w:ascii="Arial" w:hAnsi="Arial" w:cs="Arial"/>
          <w:color w:val="000000" w:themeColor="text1"/>
          <w:sz w:val="20"/>
        </w:rPr>
        <w:t xml:space="preserve"> nel 2021 è attestata al 5,2 per cento.</w:t>
      </w:r>
    </w:p>
    <w:p w14:paraId="54A619F9" w14:textId="77777777" w:rsidR="00EA05AD" w:rsidRDefault="00EA05AD" w:rsidP="00C60722">
      <w:pPr>
        <w:ind w:left="426"/>
        <w:rPr>
          <w:rFonts w:ascii="Arial" w:hAnsi="Arial" w:cs="Arial"/>
          <w:color w:val="000000" w:themeColor="text1"/>
          <w:sz w:val="20"/>
        </w:rPr>
      </w:pPr>
    </w:p>
    <w:p w14:paraId="379733E8" w14:textId="7FD6DF2A" w:rsidR="00EA05AD" w:rsidRDefault="00E12D44" w:rsidP="00DE3BC7">
      <w:pPr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I dati</w:t>
      </w:r>
      <w:r w:rsidR="00EA05AD"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</w:rPr>
        <w:t>relativi all’</w:t>
      </w:r>
      <w:r w:rsidR="00EA05AD">
        <w:rPr>
          <w:rFonts w:ascii="Arial" w:hAnsi="Arial" w:cs="Arial"/>
          <w:color w:val="000000" w:themeColor="text1"/>
          <w:sz w:val="20"/>
        </w:rPr>
        <w:t>ultimo trimestre dell’anno permett</w:t>
      </w:r>
      <w:r>
        <w:rPr>
          <w:rFonts w:ascii="Arial" w:hAnsi="Arial" w:cs="Arial"/>
          <w:color w:val="000000" w:themeColor="text1"/>
          <w:sz w:val="20"/>
        </w:rPr>
        <w:t>ono</w:t>
      </w:r>
      <w:r w:rsidR="00EA05AD"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</w:rPr>
        <w:t>di avere</w:t>
      </w:r>
      <w:r w:rsidR="00EA05AD">
        <w:rPr>
          <w:rFonts w:ascii="Arial" w:hAnsi="Arial" w:cs="Arial"/>
          <w:color w:val="000000" w:themeColor="text1"/>
          <w:sz w:val="20"/>
        </w:rPr>
        <w:t xml:space="preserve"> </w:t>
      </w:r>
      <w:r w:rsidR="00EA05AD" w:rsidRPr="001E72A3">
        <w:rPr>
          <w:rFonts w:ascii="Arial" w:hAnsi="Arial" w:cs="Arial"/>
          <w:b/>
          <w:color w:val="000000" w:themeColor="text1"/>
          <w:sz w:val="20"/>
        </w:rPr>
        <w:t>una visione del 2021</w:t>
      </w:r>
      <w:r w:rsidR="00EA05AD">
        <w:rPr>
          <w:rFonts w:ascii="Arial" w:hAnsi="Arial" w:cs="Arial"/>
          <w:color w:val="000000" w:themeColor="text1"/>
          <w:sz w:val="20"/>
        </w:rPr>
        <w:t xml:space="preserve"> nel suo insieme: secondo l’Ufficio studi </w:t>
      </w:r>
      <w:proofErr w:type="spellStart"/>
      <w:r w:rsidR="00EA05AD">
        <w:rPr>
          <w:rFonts w:ascii="Arial" w:hAnsi="Arial" w:cs="Arial"/>
          <w:color w:val="000000" w:themeColor="text1"/>
          <w:sz w:val="20"/>
        </w:rPr>
        <w:t>Acimall</w:t>
      </w:r>
      <w:proofErr w:type="spellEnd"/>
      <w:r w:rsidR="00EA05AD">
        <w:rPr>
          <w:rFonts w:ascii="Arial" w:hAnsi="Arial" w:cs="Arial"/>
          <w:color w:val="000000" w:themeColor="text1"/>
          <w:sz w:val="20"/>
        </w:rPr>
        <w:t xml:space="preserve"> la raccol</w:t>
      </w:r>
      <w:r w:rsidR="001E72A3">
        <w:rPr>
          <w:rFonts w:ascii="Arial" w:hAnsi="Arial" w:cs="Arial"/>
          <w:color w:val="000000" w:themeColor="text1"/>
          <w:sz w:val="20"/>
        </w:rPr>
        <w:t>ta degli ordini nei dodici mesi sarebbe cresciu</w:t>
      </w:r>
      <w:r w:rsidR="00EA05AD">
        <w:rPr>
          <w:rFonts w:ascii="Arial" w:hAnsi="Arial" w:cs="Arial"/>
          <w:color w:val="000000" w:themeColor="text1"/>
          <w:sz w:val="20"/>
        </w:rPr>
        <w:t>ta del 72 per cento rispet</w:t>
      </w:r>
      <w:r w:rsidR="001E72A3">
        <w:rPr>
          <w:rFonts w:ascii="Arial" w:hAnsi="Arial" w:cs="Arial"/>
          <w:color w:val="000000" w:themeColor="text1"/>
          <w:sz w:val="20"/>
        </w:rPr>
        <w:t xml:space="preserve">to al </w:t>
      </w:r>
      <w:r w:rsidR="001E72A3" w:rsidRPr="00E12D44">
        <w:rPr>
          <w:rFonts w:ascii="Arial" w:hAnsi="Arial" w:cs="Arial"/>
          <w:b/>
          <w:color w:val="000000" w:themeColor="text1"/>
          <w:sz w:val="20"/>
        </w:rPr>
        <w:t>2020</w:t>
      </w:r>
      <w:r w:rsidR="001E72A3">
        <w:rPr>
          <w:rFonts w:ascii="Arial" w:hAnsi="Arial" w:cs="Arial"/>
          <w:color w:val="000000" w:themeColor="text1"/>
          <w:sz w:val="20"/>
        </w:rPr>
        <w:t>, l’anno in cui gli e</w:t>
      </w:r>
      <w:r w:rsidR="00EA05AD">
        <w:rPr>
          <w:rFonts w:ascii="Arial" w:hAnsi="Arial" w:cs="Arial"/>
          <w:color w:val="000000" w:themeColor="text1"/>
          <w:sz w:val="20"/>
        </w:rPr>
        <w:t>ffetti della pandemia sono stati più dev</w:t>
      </w:r>
      <w:r w:rsidR="001E72A3">
        <w:rPr>
          <w:rFonts w:ascii="Arial" w:hAnsi="Arial" w:cs="Arial"/>
          <w:color w:val="000000" w:themeColor="text1"/>
          <w:sz w:val="20"/>
        </w:rPr>
        <w:t xml:space="preserve">astanti. La crescita rimane comunque “importante” anche se confrontata con gli ordini raccolti nel </w:t>
      </w:r>
      <w:r w:rsidR="001E72A3" w:rsidRPr="00E12D44">
        <w:rPr>
          <w:rFonts w:ascii="Arial" w:hAnsi="Arial" w:cs="Arial"/>
          <w:b/>
          <w:color w:val="000000" w:themeColor="text1"/>
          <w:sz w:val="20"/>
        </w:rPr>
        <w:t>2019</w:t>
      </w:r>
      <w:r w:rsidR="001E72A3">
        <w:rPr>
          <w:rFonts w:ascii="Arial" w:hAnsi="Arial" w:cs="Arial"/>
          <w:color w:val="000000" w:themeColor="text1"/>
          <w:sz w:val="20"/>
        </w:rPr>
        <w:t xml:space="preserve"> (più 44,1 per cento). Se confrontiamo poi i dati “trimestre su trimestre” – ovvero il periodo ottobre</w:t>
      </w:r>
      <w:r>
        <w:rPr>
          <w:rFonts w:ascii="Arial" w:hAnsi="Arial" w:cs="Arial"/>
          <w:color w:val="000000" w:themeColor="text1"/>
          <w:sz w:val="20"/>
        </w:rPr>
        <w:t>-dicembre</w:t>
      </w:r>
      <w:r w:rsidR="001E72A3">
        <w:rPr>
          <w:rFonts w:ascii="Arial" w:hAnsi="Arial" w:cs="Arial"/>
          <w:color w:val="000000" w:themeColor="text1"/>
          <w:sz w:val="20"/>
        </w:rPr>
        <w:t xml:space="preserve"> 2021 rispetto agli stessi tre mesi del 2019 – </w:t>
      </w:r>
      <w:r>
        <w:rPr>
          <w:rFonts w:ascii="Arial" w:hAnsi="Arial" w:cs="Arial"/>
          <w:color w:val="000000" w:themeColor="text1"/>
          <w:sz w:val="20"/>
        </w:rPr>
        <w:t>l’</w:t>
      </w:r>
      <w:r w:rsidR="001E72A3">
        <w:rPr>
          <w:rFonts w:ascii="Arial" w:hAnsi="Arial" w:cs="Arial"/>
          <w:color w:val="000000" w:themeColor="text1"/>
          <w:sz w:val="20"/>
        </w:rPr>
        <w:t xml:space="preserve">aumento degli ordini </w:t>
      </w:r>
      <w:r>
        <w:rPr>
          <w:rFonts w:ascii="Arial" w:hAnsi="Arial" w:cs="Arial"/>
          <w:color w:val="000000" w:themeColor="text1"/>
          <w:sz w:val="20"/>
        </w:rPr>
        <w:t xml:space="preserve">è stato </w:t>
      </w:r>
      <w:r w:rsidR="001E72A3">
        <w:rPr>
          <w:rFonts w:ascii="Arial" w:hAnsi="Arial" w:cs="Arial"/>
          <w:color w:val="000000" w:themeColor="text1"/>
          <w:sz w:val="20"/>
        </w:rPr>
        <w:t>del 46,1 per cento, dunque perfettamente in linea con il risultato registrato per l’intero 2021.</w:t>
      </w:r>
    </w:p>
    <w:p w14:paraId="5379CEBD" w14:textId="77777777" w:rsidR="001E72A3" w:rsidRDefault="001E72A3" w:rsidP="00DE3BC7">
      <w:pPr>
        <w:ind w:left="426"/>
        <w:rPr>
          <w:rFonts w:ascii="Arial" w:hAnsi="Arial" w:cs="Arial"/>
          <w:color w:val="000000" w:themeColor="text1"/>
          <w:sz w:val="20"/>
        </w:rPr>
      </w:pPr>
    </w:p>
    <w:p w14:paraId="26E845A0" w14:textId="356474D3" w:rsidR="00B0713B" w:rsidRPr="007611D0" w:rsidRDefault="001E72A3" w:rsidP="000A33AA">
      <w:pPr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Clima più che positivo anche per l’</w:t>
      </w:r>
      <w:r w:rsidR="00E12D44">
        <w:rPr>
          <w:rFonts w:ascii="Arial" w:hAnsi="Arial" w:cs="Arial"/>
          <w:b/>
          <w:color w:val="000000" w:themeColor="text1"/>
          <w:sz w:val="20"/>
        </w:rPr>
        <w:t xml:space="preserve">indagine qualitativa, </w:t>
      </w:r>
      <w:r>
        <w:rPr>
          <w:rFonts w:ascii="Arial" w:hAnsi="Arial" w:cs="Arial"/>
          <w:color w:val="000000" w:themeColor="text1"/>
          <w:sz w:val="20"/>
        </w:rPr>
        <w:t xml:space="preserve">elaborata grazie alle risposte degli intervistati, secondo i quali la produzione </w:t>
      </w:r>
      <w:r w:rsidR="00D42442">
        <w:rPr>
          <w:rFonts w:ascii="Arial" w:hAnsi="Arial" w:cs="Arial"/>
          <w:color w:val="000000" w:themeColor="text1"/>
          <w:sz w:val="20"/>
        </w:rPr>
        <w:t>ha avuto</w:t>
      </w:r>
      <w:r>
        <w:rPr>
          <w:rFonts w:ascii="Arial" w:hAnsi="Arial" w:cs="Arial"/>
          <w:color w:val="000000" w:themeColor="text1"/>
          <w:sz w:val="20"/>
        </w:rPr>
        <w:t xml:space="preserve"> un trend positivo (57 per cento del campione) o stazionario (43 per cento). Da segnalare che nessuno </w:t>
      </w:r>
      <w:r w:rsidR="00D42442">
        <w:rPr>
          <w:rFonts w:ascii="Arial" w:hAnsi="Arial" w:cs="Arial"/>
          <w:color w:val="000000" w:themeColor="text1"/>
          <w:sz w:val="20"/>
        </w:rPr>
        <w:t>ha segnalato</w:t>
      </w:r>
      <w:r>
        <w:rPr>
          <w:rFonts w:ascii="Arial" w:hAnsi="Arial" w:cs="Arial"/>
          <w:color w:val="000000" w:themeColor="text1"/>
          <w:sz w:val="20"/>
        </w:rPr>
        <w:t xml:space="preserve"> una contrazione. Stessi dati per l’</w:t>
      </w:r>
      <w:r w:rsidRPr="00E12D44">
        <w:rPr>
          <w:rFonts w:ascii="Arial" w:hAnsi="Arial" w:cs="Arial"/>
          <w:b/>
          <w:color w:val="000000" w:themeColor="text1"/>
          <w:sz w:val="20"/>
        </w:rPr>
        <w:t>o</w:t>
      </w:r>
      <w:r w:rsidRPr="001E72A3">
        <w:rPr>
          <w:rFonts w:ascii="Arial" w:hAnsi="Arial" w:cs="Arial"/>
          <w:b/>
          <w:color w:val="000000" w:themeColor="text1"/>
          <w:sz w:val="20"/>
        </w:rPr>
        <w:t>ccupazione</w:t>
      </w:r>
      <w:r>
        <w:rPr>
          <w:rFonts w:ascii="Arial" w:hAnsi="Arial" w:cs="Arial"/>
          <w:color w:val="000000" w:themeColor="text1"/>
          <w:sz w:val="20"/>
        </w:rPr>
        <w:t>: in aumento per il 57 per cento del campione, stabile per il restante 43.</w:t>
      </w:r>
      <w:r w:rsidR="000A33AA">
        <w:rPr>
          <w:rFonts w:ascii="Arial" w:hAnsi="Arial" w:cs="Arial"/>
          <w:color w:val="000000" w:themeColor="text1"/>
          <w:sz w:val="20"/>
        </w:rPr>
        <w:t xml:space="preserve"> </w:t>
      </w:r>
      <w:r w:rsidR="00B0713B" w:rsidRPr="007611D0">
        <w:rPr>
          <w:rFonts w:ascii="Arial" w:hAnsi="Arial" w:cs="Arial"/>
          <w:b/>
          <w:color w:val="000000" w:themeColor="text1"/>
          <w:sz w:val="20"/>
        </w:rPr>
        <w:t>Giacenze</w:t>
      </w:r>
      <w:r w:rsidR="000A33AA">
        <w:rPr>
          <w:rFonts w:ascii="Arial" w:hAnsi="Arial" w:cs="Arial"/>
          <w:color w:val="000000" w:themeColor="text1"/>
          <w:sz w:val="20"/>
        </w:rPr>
        <w:t xml:space="preserve"> stabili per il 48 per cento degli intervistati, in aumento per il 24 per cento, in diminuzione per il 28 per cento.</w:t>
      </w:r>
    </w:p>
    <w:p w14:paraId="6111A8FD" w14:textId="77777777" w:rsidR="001F0D52" w:rsidRDefault="001F0D52" w:rsidP="00B0713B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0"/>
        </w:rPr>
      </w:pPr>
    </w:p>
    <w:p w14:paraId="562B53A2" w14:textId="708F4F3C" w:rsidR="004E64E2" w:rsidRDefault="000A33AA" w:rsidP="009D300B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Dando uno sguardo al futuro</w:t>
      </w:r>
      <w:r w:rsidR="009D300B">
        <w:rPr>
          <w:rFonts w:ascii="Arial" w:hAnsi="Arial" w:cs="Arial"/>
          <w:color w:val="000000"/>
          <w:sz w:val="20"/>
        </w:rPr>
        <w:t>,</w:t>
      </w:r>
      <w:r>
        <w:rPr>
          <w:rFonts w:ascii="Arial" w:hAnsi="Arial" w:cs="Arial"/>
          <w:color w:val="000000"/>
          <w:sz w:val="20"/>
        </w:rPr>
        <w:t xml:space="preserve"> l</w:t>
      </w:r>
      <w:r w:rsidR="001F0D52">
        <w:rPr>
          <w:rFonts w:ascii="Arial" w:hAnsi="Arial" w:cs="Arial"/>
          <w:color w:val="000000"/>
          <w:sz w:val="20"/>
        </w:rPr>
        <w:t>’</w:t>
      </w:r>
      <w:r w:rsidR="001F0D52" w:rsidRPr="000A33AA">
        <w:rPr>
          <w:rFonts w:ascii="Arial" w:hAnsi="Arial" w:cs="Arial"/>
          <w:b/>
          <w:color w:val="000000"/>
          <w:sz w:val="20"/>
        </w:rPr>
        <w:t xml:space="preserve">indagine </w:t>
      </w:r>
      <w:r w:rsidR="0068221D" w:rsidRPr="000A33AA">
        <w:rPr>
          <w:rFonts w:ascii="Arial" w:hAnsi="Arial" w:cs="Arial"/>
          <w:b/>
          <w:color w:val="000000"/>
          <w:sz w:val="20"/>
        </w:rPr>
        <w:t xml:space="preserve">previsionale </w:t>
      </w:r>
      <w:r w:rsidR="00E12D44">
        <w:rPr>
          <w:rFonts w:ascii="Arial" w:hAnsi="Arial" w:cs="Arial"/>
          <w:color w:val="000000"/>
          <w:sz w:val="20"/>
        </w:rPr>
        <w:t>conferma</w:t>
      </w:r>
      <w:r w:rsidR="009D300B">
        <w:rPr>
          <w:rFonts w:ascii="Arial" w:hAnsi="Arial" w:cs="Arial"/>
          <w:color w:val="000000"/>
          <w:sz w:val="20"/>
        </w:rPr>
        <w:t xml:space="preserve"> per il </w:t>
      </w:r>
      <w:r w:rsidR="009D300B" w:rsidRPr="009D300B">
        <w:rPr>
          <w:rFonts w:ascii="Arial" w:hAnsi="Arial" w:cs="Arial"/>
          <w:b/>
          <w:color w:val="000000"/>
          <w:sz w:val="20"/>
        </w:rPr>
        <w:t>mercato estero</w:t>
      </w:r>
      <w:r w:rsidRPr="000A33AA">
        <w:rPr>
          <w:rFonts w:ascii="Arial" w:hAnsi="Arial" w:cs="Arial"/>
          <w:color w:val="000000"/>
          <w:sz w:val="20"/>
        </w:rPr>
        <w:t xml:space="preserve"> una forte propensione alla stabilità (76 per cento del campione)</w:t>
      </w:r>
      <w:r>
        <w:rPr>
          <w:rFonts w:ascii="Arial" w:hAnsi="Arial" w:cs="Arial"/>
          <w:color w:val="000000"/>
          <w:sz w:val="20"/>
        </w:rPr>
        <w:t xml:space="preserve">, mentre il 24 per cento vede una ulteriore crescita nei primi tre mesi di quest’anno. Il </w:t>
      </w:r>
      <w:r w:rsidRPr="000A33AA">
        <w:rPr>
          <w:rFonts w:ascii="Arial" w:hAnsi="Arial" w:cs="Arial"/>
          <w:b/>
          <w:color w:val="000000"/>
          <w:sz w:val="20"/>
        </w:rPr>
        <w:t>mercato interno</w:t>
      </w:r>
      <w:r>
        <w:rPr>
          <w:rFonts w:ascii="Arial" w:hAnsi="Arial" w:cs="Arial"/>
          <w:color w:val="000000"/>
          <w:sz w:val="20"/>
        </w:rPr>
        <w:t xml:space="preserve"> rimarrà sui livelli attuali secondo il 66 per cento degli intervistati, continuerà a crescere per il 29 per cento, mostrerà segni di contrazione per il 5 per cento. </w:t>
      </w:r>
    </w:p>
    <w:p w14:paraId="7696BC7A" w14:textId="77777777" w:rsidR="0068221D" w:rsidRDefault="0068221D" w:rsidP="00B0713B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0"/>
        </w:rPr>
      </w:pPr>
    </w:p>
    <w:p w14:paraId="2D3E3133" w14:textId="33601645" w:rsidR="00C91D54" w:rsidRPr="000A33AA" w:rsidRDefault="00C91D54" w:rsidP="000A33AA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05BA744A" w14:textId="77777777" w:rsidR="001670C8" w:rsidRPr="00E65415" w:rsidRDefault="001670C8" w:rsidP="00C91D54">
      <w:pPr>
        <w:ind w:left="426"/>
        <w:rPr>
          <w:rFonts w:ascii="Arial" w:hAnsi="Arial" w:cs="Arial"/>
          <w:color w:val="000000" w:themeColor="text1"/>
          <w:sz w:val="20"/>
        </w:rPr>
      </w:pPr>
    </w:p>
    <w:p w14:paraId="6BDCCF7E" w14:textId="77777777" w:rsidR="00840088" w:rsidRPr="00E65415" w:rsidRDefault="00840088" w:rsidP="00840088">
      <w:pPr>
        <w:tabs>
          <w:tab w:val="left" w:pos="2977"/>
          <w:tab w:val="left" w:pos="5670"/>
          <w:tab w:val="left" w:pos="6663"/>
        </w:tabs>
        <w:ind w:left="426"/>
        <w:jc w:val="both"/>
        <w:rPr>
          <w:rFonts w:ascii="Arial" w:hAnsi="Arial"/>
          <w:i/>
          <w:color w:val="000000" w:themeColor="text1"/>
          <w:sz w:val="20"/>
        </w:rPr>
      </w:pPr>
      <w:r w:rsidRPr="00E65415">
        <w:rPr>
          <w:rFonts w:ascii="Arial" w:hAnsi="Arial"/>
          <w:i/>
          <w:color w:val="000000" w:themeColor="text1"/>
          <w:sz w:val="20"/>
        </w:rPr>
        <w:t>Per ulteriori informazioni:</w:t>
      </w:r>
    </w:p>
    <w:p w14:paraId="1110F91B" w14:textId="77777777" w:rsidR="00840088" w:rsidRPr="00E65415" w:rsidRDefault="00840088" w:rsidP="00840088">
      <w:pPr>
        <w:tabs>
          <w:tab w:val="left" w:pos="567"/>
        </w:tabs>
        <w:ind w:left="426"/>
        <w:jc w:val="both"/>
        <w:outlineLvl w:val="0"/>
        <w:rPr>
          <w:rFonts w:ascii="Arial" w:hAnsi="Arial"/>
          <w:b/>
          <w:color w:val="000000" w:themeColor="text1"/>
          <w:sz w:val="20"/>
        </w:rPr>
      </w:pPr>
      <w:r w:rsidRPr="00E65415">
        <w:rPr>
          <w:rFonts w:ascii="Arial" w:hAnsi="Arial"/>
          <w:b/>
          <w:color w:val="000000" w:themeColor="text1"/>
          <w:sz w:val="20"/>
        </w:rPr>
        <w:t>Luca Rossetti</w:t>
      </w:r>
    </w:p>
    <w:p w14:paraId="5FE0D79C" w14:textId="081DADBD" w:rsidR="00DE3DFA" w:rsidRDefault="00840088" w:rsidP="00B33B48">
      <w:pPr>
        <w:tabs>
          <w:tab w:val="left" w:pos="560"/>
        </w:tabs>
        <w:ind w:left="426"/>
        <w:jc w:val="both"/>
        <w:outlineLvl w:val="0"/>
        <w:rPr>
          <w:rStyle w:val="Collegamentoipertestuale"/>
          <w:rFonts w:ascii="Arial" w:hAnsi="Arial"/>
          <w:color w:val="000000" w:themeColor="text1"/>
          <w:sz w:val="20"/>
        </w:rPr>
      </w:pPr>
      <w:r w:rsidRPr="00E65415">
        <w:rPr>
          <w:rFonts w:ascii="Arial" w:hAnsi="Arial"/>
          <w:color w:val="000000" w:themeColor="text1"/>
          <w:sz w:val="20"/>
        </w:rPr>
        <w:t>+39 3</w:t>
      </w:r>
      <w:r w:rsidR="0068221D">
        <w:rPr>
          <w:rFonts w:ascii="Arial" w:hAnsi="Arial"/>
          <w:color w:val="000000" w:themeColor="text1"/>
          <w:sz w:val="20"/>
        </w:rPr>
        <w:t>51</w:t>
      </w:r>
      <w:r w:rsidRPr="00E65415">
        <w:rPr>
          <w:rFonts w:ascii="Arial" w:hAnsi="Arial"/>
          <w:color w:val="000000" w:themeColor="text1"/>
          <w:sz w:val="20"/>
        </w:rPr>
        <w:t xml:space="preserve"> </w:t>
      </w:r>
      <w:r w:rsidR="0068221D">
        <w:rPr>
          <w:rFonts w:ascii="Arial" w:hAnsi="Arial"/>
          <w:color w:val="000000" w:themeColor="text1"/>
          <w:sz w:val="20"/>
        </w:rPr>
        <w:t>9098189</w:t>
      </w:r>
      <w:r w:rsidRPr="00E65415">
        <w:rPr>
          <w:rFonts w:ascii="Arial" w:hAnsi="Arial"/>
          <w:color w:val="000000" w:themeColor="text1"/>
          <w:sz w:val="20"/>
        </w:rPr>
        <w:t xml:space="preserve"> - </w:t>
      </w:r>
      <w:hyperlink r:id="rId8" w:history="1">
        <w:r w:rsidRPr="00E65415">
          <w:rPr>
            <w:rStyle w:val="Collegamentoipertestuale"/>
            <w:rFonts w:ascii="Arial" w:hAnsi="Arial"/>
            <w:color w:val="000000" w:themeColor="text1"/>
            <w:sz w:val="20"/>
          </w:rPr>
          <w:t>press@acimall.com</w:t>
        </w:r>
      </w:hyperlink>
    </w:p>
    <w:p w14:paraId="3FFC3468" w14:textId="77777777" w:rsidR="00AF50EF" w:rsidRPr="00B33B48" w:rsidRDefault="00AF50EF" w:rsidP="00B33B48">
      <w:pPr>
        <w:tabs>
          <w:tab w:val="left" w:pos="560"/>
        </w:tabs>
        <w:ind w:left="426"/>
        <w:jc w:val="both"/>
        <w:outlineLvl w:val="0"/>
        <w:rPr>
          <w:rFonts w:ascii="Arial" w:hAnsi="Arial" w:cs="Arial"/>
          <w:color w:val="000000" w:themeColor="text1"/>
          <w:sz w:val="20"/>
        </w:rPr>
      </w:pPr>
    </w:p>
    <w:sectPr w:rsidR="00AF50EF" w:rsidRPr="00B33B48" w:rsidSect="00104F3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991" w:bottom="384" w:left="1418" w:header="720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1AD9A" w14:textId="77777777" w:rsidR="000A33AA" w:rsidRDefault="000A33AA">
      <w:r>
        <w:separator/>
      </w:r>
    </w:p>
  </w:endnote>
  <w:endnote w:type="continuationSeparator" w:id="0">
    <w:p w14:paraId="4E6DDC9F" w14:textId="77777777" w:rsidR="000A33AA" w:rsidRDefault="000A3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Geneva"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75BF6" w14:textId="77777777" w:rsidR="000A33AA" w:rsidRDefault="000A33A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7FA7CA" w14:textId="77777777" w:rsidR="000A33AA" w:rsidRDefault="000A33AA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5DE1" w14:textId="77777777" w:rsidR="000A33AA" w:rsidRDefault="000A33AA">
    <w:pPr>
      <w:pStyle w:val="Pidipagina"/>
      <w:framePr w:wrap="around" w:vAnchor="text" w:hAnchor="page" w:x="5488" w:y="524"/>
      <w:jc w:val="center"/>
      <w:rPr>
        <w:rStyle w:val="Numeropagina"/>
      </w:rPr>
    </w:pPr>
  </w:p>
  <w:p w14:paraId="6A2D504F" w14:textId="77777777" w:rsidR="000A33AA" w:rsidRDefault="000A33AA">
    <w:pPr>
      <w:pStyle w:val="Pidipagina"/>
      <w:ind w:right="360"/>
    </w:pPr>
    <w:r>
      <w:t xml:space="preserve">   </w:t>
    </w:r>
  </w:p>
  <w:p w14:paraId="676EE327" w14:textId="196C1161" w:rsidR="000A33AA" w:rsidRDefault="000A33AA">
    <w:pPr>
      <w:pStyle w:val="Pidipagina"/>
      <w:ind w:right="360"/>
    </w:pPr>
    <w:r>
      <w:t xml:space="preserve">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B1D6" w14:textId="77777777" w:rsidR="000A33AA" w:rsidRDefault="000A33AA">
    <w:pPr>
      <w:pStyle w:val="Pidipagina"/>
      <w:tabs>
        <w:tab w:val="clear" w:pos="4819"/>
        <w:tab w:val="clear" w:pos="9638"/>
        <w:tab w:val="left" w:pos="9000"/>
      </w:tabs>
      <w:ind w:left="480"/>
      <w:jc w:val="both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D8120" w14:textId="77777777" w:rsidR="000A33AA" w:rsidRDefault="000A33AA">
      <w:r>
        <w:separator/>
      </w:r>
    </w:p>
  </w:footnote>
  <w:footnote w:type="continuationSeparator" w:id="0">
    <w:p w14:paraId="64B36DE4" w14:textId="77777777" w:rsidR="000A33AA" w:rsidRDefault="000A3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0CE48" w14:textId="6DC56FCB" w:rsidR="000A33AA" w:rsidRDefault="000A33AA">
    <w:pPr>
      <w:pStyle w:val="Intestazione"/>
      <w:ind w:left="360"/>
    </w:pPr>
  </w:p>
  <w:p w14:paraId="302658E1" w14:textId="77777777" w:rsidR="000A33AA" w:rsidRDefault="000A33AA">
    <w:pPr>
      <w:pStyle w:val="Intestazione"/>
      <w:ind w:left="360"/>
    </w:pPr>
  </w:p>
  <w:p w14:paraId="4A2C7678" w14:textId="77777777" w:rsidR="000A33AA" w:rsidRDefault="000A33AA">
    <w:pPr>
      <w:pStyle w:val="Intestazione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8B4B7" w14:textId="39D9834C" w:rsidR="000A33AA" w:rsidRDefault="000A33AA">
    <w:pPr>
      <w:pStyle w:val="Intestazione"/>
    </w:pPr>
    <w:r>
      <w:rPr>
        <w:sz w:val="22"/>
      </w:rPr>
      <w:t xml:space="preserve">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9A4C2B"/>
    <w:multiLevelType w:val="hybridMultilevel"/>
    <w:tmpl w:val="C0C490D8"/>
    <w:lvl w:ilvl="0" w:tplc="1E5CF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1A03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E18E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6CE9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D24A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0C88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64CA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14E4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23CC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75602B59"/>
    <w:multiLevelType w:val="singleLevel"/>
    <w:tmpl w:val="055A93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4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31"/>
    <w:rsid w:val="0001539F"/>
    <w:rsid w:val="0001721B"/>
    <w:rsid w:val="00087FD9"/>
    <w:rsid w:val="00095C56"/>
    <w:rsid w:val="000A33AA"/>
    <w:rsid w:val="000B731F"/>
    <w:rsid w:val="000C05B7"/>
    <w:rsid w:val="000C2E18"/>
    <w:rsid w:val="000C4AD3"/>
    <w:rsid w:val="000C5C5F"/>
    <w:rsid w:val="000E417A"/>
    <w:rsid w:val="000E4BEE"/>
    <w:rsid w:val="000E661F"/>
    <w:rsid w:val="000E7459"/>
    <w:rsid w:val="000F4C0F"/>
    <w:rsid w:val="00104F31"/>
    <w:rsid w:val="001258BE"/>
    <w:rsid w:val="00130D7E"/>
    <w:rsid w:val="00140D22"/>
    <w:rsid w:val="00142024"/>
    <w:rsid w:val="001670C8"/>
    <w:rsid w:val="001702AD"/>
    <w:rsid w:val="0017075B"/>
    <w:rsid w:val="00174464"/>
    <w:rsid w:val="0018053C"/>
    <w:rsid w:val="001812CA"/>
    <w:rsid w:val="00181DE3"/>
    <w:rsid w:val="001956B8"/>
    <w:rsid w:val="001A615F"/>
    <w:rsid w:val="001B28A8"/>
    <w:rsid w:val="001B415A"/>
    <w:rsid w:val="001B424B"/>
    <w:rsid w:val="001B57D7"/>
    <w:rsid w:val="001C421C"/>
    <w:rsid w:val="001D79A8"/>
    <w:rsid w:val="001E067F"/>
    <w:rsid w:val="001E6154"/>
    <w:rsid w:val="001E72A3"/>
    <w:rsid w:val="001F0D52"/>
    <w:rsid w:val="001F51B2"/>
    <w:rsid w:val="002042B0"/>
    <w:rsid w:val="00207FBA"/>
    <w:rsid w:val="00210CF8"/>
    <w:rsid w:val="002178A4"/>
    <w:rsid w:val="00224AB3"/>
    <w:rsid w:val="00232B02"/>
    <w:rsid w:val="002545BF"/>
    <w:rsid w:val="002632E5"/>
    <w:rsid w:val="002650C8"/>
    <w:rsid w:val="00272082"/>
    <w:rsid w:val="00277B4A"/>
    <w:rsid w:val="00286B70"/>
    <w:rsid w:val="00291DE3"/>
    <w:rsid w:val="00294EDD"/>
    <w:rsid w:val="002A753A"/>
    <w:rsid w:val="002F11D9"/>
    <w:rsid w:val="002F5769"/>
    <w:rsid w:val="00304533"/>
    <w:rsid w:val="00305B4C"/>
    <w:rsid w:val="00307139"/>
    <w:rsid w:val="00313979"/>
    <w:rsid w:val="00326C06"/>
    <w:rsid w:val="0034316E"/>
    <w:rsid w:val="00345D05"/>
    <w:rsid w:val="00365C65"/>
    <w:rsid w:val="00366693"/>
    <w:rsid w:val="00366E20"/>
    <w:rsid w:val="00381921"/>
    <w:rsid w:val="003838AD"/>
    <w:rsid w:val="003A73F0"/>
    <w:rsid w:val="003B059D"/>
    <w:rsid w:val="003B109F"/>
    <w:rsid w:val="003D3CCC"/>
    <w:rsid w:val="003F1E14"/>
    <w:rsid w:val="003F371B"/>
    <w:rsid w:val="0040219C"/>
    <w:rsid w:val="0040679A"/>
    <w:rsid w:val="00406AB7"/>
    <w:rsid w:val="00416C21"/>
    <w:rsid w:val="00434C7E"/>
    <w:rsid w:val="00440FDD"/>
    <w:rsid w:val="004525E1"/>
    <w:rsid w:val="004559D3"/>
    <w:rsid w:val="00463561"/>
    <w:rsid w:val="00471328"/>
    <w:rsid w:val="004720FA"/>
    <w:rsid w:val="004B203B"/>
    <w:rsid w:val="004B3B06"/>
    <w:rsid w:val="004E619F"/>
    <w:rsid w:val="004E64E2"/>
    <w:rsid w:val="004F1C0F"/>
    <w:rsid w:val="00524EB0"/>
    <w:rsid w:val="00532AB7"/>
    <w:rsid w:val="00536329"/>
    <w:rsid w:val="00544E4C"/>
    <w:rsid w:val="00553F39"/>
    <w:rsid w:val="00556E60"/>
    <w:rsid w:val="00566630"/>
    <w:rsid w:val="00583DA9"/>
    <w:rsid w:val="00585084"/>
    <w:rsid w:val="005A2C26"/>
    <w:rsid w:val="005B514B"/>
    <w:rsid w:val="005C3375"/>
    <w:rsid w:val="005C788E"/>
    <w:rsid w:val="005D4C94"/>
    <w:rsid w:val="005D6503"/>
    <w:rsid w:val="005D6F46"/>
    <w:rsid w:val="005D7B5B"/>
    <w:rsid w:val="005E5302"/>
    <w:rsid w:val="005F5DB2"/>
    <w:rsid w:val="0063567C"/>
    <w:rsid w:val="0066775B"/>
    <w:rsid w:val="00671AAE"/>
    <w:rsid w:val="0068221D"/>
    <w:rsid w:val="006826C3"/>
    <w:rsid w:val="00683168"/>
    <w:rsid w:val="0069229C"/>
    <w:rsid w:val="006A64E2"/>
    <w:rsid w:val="006B1101"/>
    <w:rsid w:val="006C02B5"/>
    <w:rsid w:val="00705D68"/>
    <w:rsid w:val="007122E6"/>
    <w:rsid w:val="00724BEA"/>
    <w:rsid w:val="00736007"/>
    <w:rsid w:val="007443A2"/>
    <w:rsid w:val="00760EDC"/>
    <w:rsid w:val="007611D0"/>
    <w:rsid w:val="00773075"/>
    <w:rsid w:val="00786BB1"/>
    <w:rsid w:val="007A6D51"/>
    <w:rsid w:val="007B2DBD"/>
    <w:rsid w:val="007B3109"/>
    <w:rsid w:val="007B4E57"/>
    <w:rsid w:val="007B72D5"/>
    <w:rsid w:val="007D28CA"/>
    <w:rsid w:val="007E06BB"/>
    <w:rsid w:val="007E5480"/>
    <w:rsid w:val="00800F6A"/>
    <w:rsid w:val="0080513A"/>
    <w:rsid w:val="00807D67"/>
    <w:rsid w:val="00840088"/>
    <w:rsid w:val="00840B4A"/>
    <w:rsid w:val="00865C7A"/>
    <w:rsid w:val="0087060B"/>
    <w:rsid w:val="008850FB"/>
    <w:rsid w:val="00891675"/>
    <w:rsid w:val="008A5509"/>
    <w:rsid w:val="008C261D"/>
    <w:rsid w:val="008C32CC"/>
    <w:rsid w:val="008C3ACA"/>
    <w:rsid w:val="008E444A"/>
    <w:rsid w:val="008E5DBF"/>
    <w:rsid w:val="008E606A"/>
    <w:rsid w:val="008F01AF"/>
    <w:rsid w:val="008F4FEF"/>
    <w:rsid w:val="00901E8C"/>
    <w:rsid w:val="009024DF"/>
    <w:rsid w:val="00904BBD"/>
    <w:rsid w:val="00905D70"/>
    <w:rsid w:val="00917407"/>
    <w:rsid w:val="009201D1"/>
    <w:rsid w:val="00927BEF"/>
    <w:rsid w:val="00932B59"/>
    <w:rsid w:val="00932BC6"/>
    <w:rsid w:val="00941E08"/>
    <w:rsid w:val="00946C6A"/>
    <w:rsid w:val="00947D81"/>
    <w:rsid w:val="00960785"/>
    <w:rsid w:val="009703DB"/>
    <w:rsid w:val="00972D3C"/>
    <w:rsid w:val="00975B1A"/>
    <w:rsid w:val="0097719C"/>
    <w:rsid w:val="00985C7E"/>
    <w:rsid w:val="00990459"/>
    <w:rsid w:val="00991CBC"/>
    <w:rsid w:val="00993D0D"/>
    <w:rsid w:val="009C5B81"/>
    <w:rsid w:val="009C6F87"/>
    <w:rsid w:val="009D300B"/>
    <w:rsid w:val="009E5E5C"/>
    <w:rsid w:val="00A018A0"/>
    <w:rsid w:val="00A029E7"/>
    <w:rsid w:val="00A108DB"/>
    <w:rsid w:val="00A24050"/>
    <w:rsid w:val="00A24489"/>
    <w:rsid w:val="00A2581D"/>
    <w:rsid w:val="00A60694"/>
    <w:rsid w:val="00A76779"/>
    <w:rsid w:val="00A86E2C"/>
    <w:rsid w:val="00AB77FB"/>
    <w:rsid w:val="00AE1B9E"/>
    <w:rsid w:val="00AE51EF"/>
    <w:rsid w:val="00AF50EF"/>
    <w:rsid w:val="00B024BA"/>
    <w:rsid w:val="00B0713B"/>
    <w:rsid w:val="00B329E2"/>
    <w:rsid w:val="00B33B48"/>
    <w:rsid w:val="00B33F4A"/>
    <w:rsid w:val="00B47656"/>
    <w:rsid w:val="00B50A3F"/>
    <w:rsid w:val="00B657A0"/>
    <w:rsid w:val="00B65A3E"/>
    <w:rsid w:val="00B72A34"/>
    <w:rsid w:val="00B7327C"/>
    <w:rsid w:val="00B77080"/>
    <w:rsid w:val="00B9584F"/>
    <w:rsid w:val="00BC3417"/>
    <w:rsid w:val="00BC547E"/>
    <w:rsid w:val="00BD40BD"/>
    <w:rsid w:val="00BD4D44"/>
    <w:rsid w:val="00BD4E9A"/>
    <w:rsid w:val="00BF2118"/>
    <w:rsid w:val="00BF35BC"/>
    <w:rsid w:val="00C04852"/>
    <w:rsid w:val="00C07008"/>
    <w:rsid w:val="00C10DE6"/>
    <w:rsid w:val="00C12950"/>
    <w:rsid w:val="00C41993"/>
    <w:rsid w:val="00C435AF"/>
    <w:rsid w:val="00C441DA"/>
    <w:rsid w:val="00C54EF3"/>
    <w:rsid w:val="00C55169"/>
    <w:rsid w:val="00C60722"/>
    <w:rsid w:val="00C639FC"/>
    <w:rsid w:val="00C91D54"/>
    <w:rsid w:val="00C96A6C"/>
    <w:rsid w:val="00CB70B1"/>
    <w:rsid w:val="00CE4D8E"/>
    <w:rsid w:val="00CE6324"/>
    <w:rsid w:val="00CE7C6D"/>
    <w:rsid w:val="00D0397B"/>
    <w:rsid w:val="00D04850"/>
    <w:rsid w:val="00D0677A"/>
    <w:rsid w:val="00D10A5D"/>
    <w:rsid w:val="00D16C13"/>
    <w:rsid w:val="00D32BC8"/>
    <w:rsid w:val="00D42442"/>
    <w:rsid w:val="00D47E18"/>
    <w:rsid w:val="00D7134F"/>
    <w:rsid w:val="00D91B3F"/>
    <w:rsid w:val="00DB7438"/>
    <w:rsid w:val="00DC53CF"/>
    <w:rsid w:val="00DD038E"/>
    <w:rsid w:val="00DE3BC7"/>
    <w:rsid w:val="00DE3DFA"/>
    <w:rsid w:val="00E04E31"/>
    <w:rsid w:val="00E07556"/>
    <w:rsid w:val="00E12D44"/>
    <w:rsid w:val="00E2671D"/>
    <w:rsid w:val="00E26F68"/>
    <w:rsid w:val="00E6024D"/>
    <w:rsid w:val="00E60591"/>
    <w:rsid w:val="00E65415"/>
    <w:rsid w:val="00E655B9"/>
    <w:rsid w:val="00E66C6E"/>
    <w:rsid w:val="00EA05AD"/>
    <w:rsid w:val="00ED118D"/>
    <w:rsid w:val="00EF3187"/>
    <w:rsid w:val="00F00863"/>
    <w:rsid w:val="00F01932"/>
    <w:rsid w:val="00F15D95"/>
    <w:rsid w:val="00F259BE"/>
    <w:rsid w:val="00F30178"/>
    <w:rsid w:val="00F3539D"/>
    <w:rsid w:val="00F379D8"/>
    <w:rsid w:val="00F6359A"/>
    <w:rsid w:val="00F64584"/>
    <w:rsid w:val="00F76DF4"/>
    <w:rsid w:val="00FB5D0B"/>
    <w:rsid w:val="00FD043C"/>
    <w:rsid w:val="00FF2E86"/>
    <w:rsid w:val="00FF331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 fillcolor="white" stroke="f">
      <v:fill color="white"/>
      <v:stroke on="f"/>
    </o:shapedefaults>
    <o:shapelayout v:ext="edit">
      <o:idmap v:ext="edit" data="1"/>
    </o:shapelayout>
  </w:shapeDefaults>
  <w:doNotEmbedSmartTags/>
  <w:decimalSymbol w:val=","/>
  <w:listSeparator w:val=";"/>
  <w14:docId w14:val="62284E42"/>
  <w15:docId w15:val="{8E655999-E63E-472B-A662-9DD7DE55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9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11D9"/>
    <w:rPr>
      <w:sz w:val="24"/>
    </w:rPr>
  </w:style>
  <w:style w:type="paragraph" w:styleId="Titolo1">
    <w:name w:val="heading 1"/>
    <w:basedOn w:val="Normale"/>
    <w:next w:val="Normale"/>
    <w:qFormat/>
    <w:rsid w:val="002F11D9"/>
    <w:pPr>
      <w:keepNext/>
      <w:outlineLvl w:val="0"/>
    </w:pPr>
    <w:rPr>
      <w:rFonts w:ascii="Helvetica" w:hAnsi="Helvetica"/>
      <w:b/>
      <w:sz w:val="16"/>
    </w:rPr>
  </w:style>
  <w:style w:type="paragraph" w:styleId="Titolo2">
    <w:name w:val="heading 2"/>
    <w:basedOn w:val="Normale"/>
    <w:next w:val="Normale"/>
    <w:qFormat/>
    <w:rsid w:val="002F11D9"/>
    <w:pPr>
      <w:keepNext/>
      <w:spacing w:before="240" w:after="60"/>
      <w:outlineLvl w:val="1"/>
    </w:pPr>
    <w:rPr>
      <w:rFonts w:ascii="Helvetica" w:hAnsi="Helvetica"/>
      <w:b/>
      <w:i/>
    </w:rPr>
  </w:style>
  <w:style w:type="paragraph" w:styleId="Titolo3">
    <w:name w:val="heading 3"/>
    <w:basedOn w:val="Normale"/>
    <w:next w:val="Normale"/>
    <w:qFormat/>
    <w:rsid w:val="002F11D9"/>
    <w:pPr>
      <w:keepNext/>
      <w:jc w:val="both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rsid w:val="002F11D9"/>
    <w:pPr>
      <w:keepNext/>
      <w:ind w:left="480"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qFormat/>
    <w:rsid w:val="002F11D9"/>
    <w:pPr>
      <w:keepNext/>
      <w:ind w:left="480"/>
      <w:jc w:val="both"/>
      <w:outlineLvl w:val="4"/>
    </w:pPr>
    <w:rPr>
      <w:rFonts w:ascii="Arial" w:hAnsi="Arial"/>
      <w:b/>
      <w:color w:val="000000"/>
      <w:sz w:val="22"/>
    </w:rPr>
  </w:style>
  <w:style w:type="paragraph" w:styleId="Titolo6">
    <w:name w:val="heading 6"/>
    <w:basedOn w:val="Normale"/>
    <w:next w:val="Normale"/>
    <w:qFormat/>
    <w:rsid w:val="002F11D9"/>
    <w:pPr>
      <w:keepNext/>
      <w:jc w:val="both"/>
      <w:outlineLvl w:val="5"/>
    </w:pPr>
    <w:rPr>
      <w:rFonts w:eastAsia="Arial Unicode MS"/>
    </w:rPr>
  </w:style>
  <w:style w:type="paragraph" w:styleId="Titolo7">
    <w:name w:val="heading 7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6"/>
    </w:pPr>
    <w:rPr>
      <w:rFonts w:ascii="Arial" w:hAnsi="Arial"/>
      <w:b/>
      <w:sz w:val="20"/>
    </w:rPr>
  </w:style>
  <w:style w:type="paragraph" w:styleId="Titolo8">
    <w:name w:val="heading 8"/>
    <w:basedOn w:val="Normale"/>
    <w:next w:val="Normale"/>
    <w:qFormat/>
    <w:rsid w:val="002F11D9"/>
    <w:pPr>
      <w:keepNext/>
      <w:ind w:left="480"/>
      <w:jc w:val="both"/>
      <w:outlineLvl w:val="7"/>
    </w:pPr>
    <w:rPr>
      <w:rFonts w:ascii="Arial" w:hAnsi="Arial"/>
      <w:b/>
      <w:color w:val="FF0000"/>
    </w:rPr>
  </w:style>
  <w:style w:type="paragraph" w:styleId="Titolo9">
    <w:name w:val="heading 9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F11D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11D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center"/>
    </w:pPr>
    <w:rPr>
      <w:rFonts w:ascii="Arial" w:hAnsi="Arial"/>
      <w:b/>
      <w:sz w:val="28"/>
      <w:u w:val="single"/>
    </w:rPr>
  </w:style>
  <w:style w:type="paragraph" w:styleId="Corpotesto">
    <w:name w:val="Body Text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both"/>
    </w:pPr>
    <w:rPr>
      <w:rFonts w:ascii="Arial" w:hAnsi="Arial"/>
      <w:sz w:val="28"/>
    </w:rPr>
  </w:style>
  <w:style w:type="paragraph" w:styleId="Corpodeltesto2">
    <w:name w:val="Body Text 2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</w:pPr>
    <w:rPr>
      <w:rFonts w:ascii="Arial" w:hAnsi="Arial"/>
      <w:sz w:val="28"/>
    </w:rPr>
  </w:style>
  <w:style w:type="paragraph" w:customStyle="1" w:styleId="L">
    <w:name w:val="L"/>
    <w:basedOn w:val="Normale"/>
    <w:rsid w:val="002F11D9"/>
    <w:pPr>
      <w:ind w:right="2126"/>
      <w:jc w:val="both"/>
    </w:pPr>
    <w:rPr>
      <w:rFonts w:ascii="Arial" w:hAnsi="Arial"/>
    </w:rPr>
  </w:style>
  <w:style w:type="character" w:styleId="Numeropagina">
    <w:name w:val="page number"/>
    <w:basedOn w:val="Carpredefinitoparagrafo"/>
    <w:rsid w:val="002F11D9"/>
  </w:style>
  <w:style w:type="character" w:styleId="Collegamentoipertestuale">
    <w:name w:val="Hyperlink"/>
    <w:basedOn w:val="Carpredefinitoparagrafo"/>
    <w:rsid w:val="002F11D9"/>
    <w:rPr>
      <w:color w:val="0000FF"/>
      <w:u w:val="single"/>
    </w:rPr>
  </w:style>
  <w:style w:type="paragraph" w:styleId="Mappadocumento">
    <w:name w:val="Document Map"/>
    <w:basedOn w:val="Normale"/>
    <w:semiHidden/>
    <w:rsid w:val="002F11D9"/>
    <w:pPr>
      <w:shd w:val="clear" w:color="auto" w:fill="000080"/>
    </w:pPr>
    <w:rPr>
      <w:rFonts w:ascii="Geneva" w:hAnsi="Geneva"/>
    </w:rPr>
  </w:style>
  <w:style w:type="paragraph" w:styleId="Testodelblocco">
    <w:name w:val="Block Text"/>
    <w:basedOn w:val="Normale"/>
    <w:rsid w:val="002F11D9"/>
    <w:pPr>
      <w:ind w:left="360" w:right="-82"/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rsid w:val="002F11D9"/>
    <w:pPr>
      <w:ind w:left="360"/>
      <w:jc w:val="both"/>
    </w:pPr>
    <w:rPr>
      <w:rFonts w:ascii="Arial" w:hAnsi="Arial"/>
      <w:sz w:val="22"/>
    </w:rPr>
  </w:style>
  <w:style w:type="paragraph" w:styleId="Corpodeltesto3">
    <w:name w:val="Body Text 3"/>
    <w:basedOn w:val="Normale"/>
    <w:rsid w:val="002F11D9"/>
    <w:pPr>
      <w:jc w:val="both"/>
    </w:pPr>
    <w:rPr>
      <w:rFonts w:ascii="Arial" w:hAnsi="Arial"/>
      <w:color w:val="000000"/>
      <w:sz w:val="22"/>
    </w:rPr>
  </w:style>
  <w:style w:type="paragraph" w:styleId="Rientrocorpodeltesto2">
    <w:name w:val="Body Text Indent 2"/>
    <w:basedOn w:val="Normale"/>
    <w:rsid w:val="002F11D9"/>
    <w:pPr>
      <w:ind w:left="480"/>
      <w:jc w:val="both"/>
    </w:pPr>
    <w:rPr>
      <w:rFonts w:ascii="Arial" w:hAnsi="Arial"/>
      <w:color w:val="000000"/>
      <w:sz w:val="22"/>
    </w:rPr>
  </w:style>
  <w:style w:type="paragraph" w:styleId="Rientrocorpodeltesto3">
    <w:name w:val="Body Text Indent 3"/>
    <w:basedOn w:val="Normale"/>
    <w:rsid w:val="002F11D9"/>
    <w:pPr>
      <w:ind w:left="480"/>
      <w:jc w:val="both"/>
    </w:pPr>
    <w:rPr>
      <w:rFonts w:ascii="Arial" w:hAnsi="Arial"/>
      <w:sz w:val="20"/>
    </w:rPr>
  </w:style>
  <w:style w:type="paragraph" w:styleId="Sottotitolo">
    <w:name w:val="Subtitle"/>
    <w:basedOn w:val="Normale"/>
    <w:qFormat/>
    <w:rsid w:val="002F11D9"/>
    <w:pPr>
      <w:spacing w:after="60"/>
      <w:jc w:val="center"/>
      <w:outlineLvl w:val="1"/>
    </w:pPr>
    <w:rPr>
      <w:rFonts w:ascii="Arial" w:hAnsi="Arial"/>
    </w:rPr>
  </w:style>
  <w:style w:type="paragraph" w:styleId="Testofumetto">
    <w:name w:val="Balloon Text"/>
    <w:basedOn w:val="Normale"/>
    <w:semiHidden/>
    <w:rsid w:val="00E04E31"/>
    <w:rPr>
      <w:rFonts w:ascii="Lucida Grande" w:hAnsi="Lucida Grande"/>
      <w:sz w:val="18"/>
      <w:szCs w:val="18"/>
    </w:rPr>
  </w:style>
  <w:style w:type="character" w:customStyle="1" w:styleId="col1">
    <w:name w:val="col1"/>
    <w:basedOn w:val="Carpredefinitoparagrafo"/>
    <w:rsid w:val="00E14275"/>
  </w:style>
  <w:style w:type="paragraph" w:styleId="Nessunaspaziatura">
    <w:name w:val="No Spacing"/>
    <w:uiPriority w:val="1"/>
    <w:semiHidden/>
    <w:qFormat/>
    <w:rsid w:val="00DA137C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131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eWeb">
    <w:name w:val="Normal (Web)"/>
    <w:basedOn w:val="Normale"/>
    <w:uiPriority w:val="99"/>
    <w:rsid w:val="00254CF9"/>
    <w:pPr>
      <w:spacing w:beforeLines="1" w:afterLines="1"/>
    </w:pPr>
    <w:rPr>
      <w:rFonts w:ascii="Times" w:eastAsia="Cambria" w:hAnsi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acimall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ax-acimal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fax-acimall.dot</Template>
  <TotalTime>1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Associazione costruttori</vt:lpstr>
      <vt:lpstr>Associazione costruttori</vt:lpstr>
    </vt:vector>
  </TitlesOfParts>
  <Company/>
  <LinksUpToDate>false</LinksUpToDate>
  <CharactersWithSpaces>3380</CharactersWithSpaces>
  <SharedDoc>false</SharedDoc>
  <HLinks>
    <vt:vector size="24" baseType="variant">
      <vt:variant>
        <vt:i4>983080</vt:i4>
      </vt:variant>
      <vt:variant>
        <vt:i4>0</vt:i4>
      </vt:variant>
      <vt:variant>
        <vt:i4>0</vt:i4>
      </vt:variant>
      <vt:variant>
        <vt:i4>5</vt:i4>
      </vt:variant>
      <vt:variant>
        <vt:lpwstr>mailto:press@acimall.com</vt:lpwstr>
      </vt:variant>
      <vt:variant>
        <vt:lpwstr/>
      </vt:variant>
      <vt:variant>
        <vt:i4>8126491</vt:i4>
      </vt:variant>
      <vt:variant>
        <vt:i4>6198</vt:i4>
      </vt:variant>
      <vt:variant>
        <vt:i4>1026</vt:i4>
      </vt:variant>
      <vt:variant>
        <vt:i4>1</vt:i4>
      </vt:variant>
      <vt:variant>
        <vt:lpwstr>ACIMALL carta intestata</vt:lpwstr>
      </vt:variant>
      <vt:variant>
        <vt:lpwstr/>
      </vt:variant>
      <vt:variant>
        <vt:i4>6291547</vt:i4>
      </vt:variant>
      <vt:variant>
        <vt:i4>6228</vt:i4>
      </vt:variant>
      <vt:variant>
        <vt:i4>1027</vt:i4>
      </vt:variant>
      <vt:variant>
        <vt:i4>1</vt:i4>
      </vt:variant>
      <vt:variant>
        <vt:lpwstr>LOGO_CONFINDUSTRIA</vt:lpwstr>
      </vt:variant>
      <vt:variant>
        <vt:lpwstr/>
      </vt:variant>
      <vt:variant>
        <vt:i4>8126491</vt:i4>
      </vt:variant>
      <vt:variant>
        <vt:i4>6239</vt:i4>
      </vt:variant>
      <vt:variant>
        <vt:i4>1025</vt:i4>
      </vt:variant>
      <vt:variant>
        <vt:i4>1</vt:i4>
      </vt:variant>
      <vt:variant>
        <vt:lpwstr>ACIMALL carta intestata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costruttori</dc:title>
  <dc:subject/>
  <dc:creator>. .</dc:creator>
  <cp:keywords/>
  <cp:lastModifiedBy>Piero Borroni</cp:lastModifiedBy>
  <cp:revision>2</cp:revision>
  <cp:lastPrinted>2022-02-14T16:33:00Z</cp:lastPrinted>
  <dcterms:created xsi:type="dcterms:W3CDTF">2022-02-16T08:59:00Z</dcterms:created>
  <dcterms:modified xsi:type="dcterms:W3CDTF">2022-02-16T08:59:00Z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-1843729638</vt:i4>
  </property>
  <property fmtid="{D5CDD505-2E9C-101B-9397-08002B2CF9AE}" pid="3" name="_EmailSubject">
    <vt:lpwstr>COMUNICATO STAMPA 5/2003</vt:lpwstr>
  </property>
  <property fmtid="{D5CDD505-2E9C-101B-9397-08002B2CF9AE}" pid="4" name="_AuthorEmail">
    <vt:lpwstr>LC@Costalev.com</vt:lpwstr>
  </property>
  <property fmtid="{D5CDD505-2E9C-101B-9397-08002B2CF9AE}" pid="5" name="_AuthorEmailDisplayName">
    <vt:lpwstr>Luciano Costa</vt:lpwstr>
  </property>
  <property fmtid="{D5CDD505-2E9C-101B-9397-08002B2CF9AE}" pid="6" name="_ReviewingToolsShownOnce">
    <vt:lpwstr/>
  </property>
</Properties>
</file>