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3CD1A862" w:rsidR="00C12950" w:rsidRPr="004C4277" w:rsidRDefault="003C0EC3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14</w:t>
            </w:r>
            <w:r w:rsidR="00181C29">
              <w:rPr>
                <w:rFonts w:ascii="Helvetica" w:hAnsi="Helvetica"/>
                <w:color w:val="000000" w:themeColor="text1"/>
                <w:sz w:val="14"/>
              </w:rPr>
              <w:t xml:space="preserve"> febbraio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2023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1B82A939" w:rsidR="00F7011C" w:rsidRPr="00C26EF2" w:rsidRDefault="008F4FE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E92C27">
        <w:rPr>
          <w:rFonts w:ascii="Arial" w:hAnsi="Arial" w:cs="Arial"/>
          <w:b/>
          <w:color w:val="000000" w:themeColor="text1"/>
          <w:sz w:val="20"/>
        </w:rPr>
        <w:t xml:space="preserve">TECNOLOGIE PER IL </w:t>
      </w:r>
      <w:r w:rsidRPr="00C26EF2">
        <w:rPr>
          <w:rFonts w:ascii="Arial" w:hAnsi="Arial" w:cs="Arial"/>
          <w:b/>
          <w:color w:val="000000" w:themeColor="text1"/>
          <w:sz w:val="20"/>
        </w:rPr>
        <w:t xml:space="preserve">LEGNO: </w:t>
      </w:r>
      <w:r w:rsidR="00724026" w:rsidRPr="00C26EF2">
        <w:rPr>
          <w:rFonts w:ascii="Arial" w:hAnsi="Arial" w:cs="Arial"/>
          <w:b/>
          <w:color w:val="000000" w:themeColor="text1"/>
          <w:sz w:val="20"/>
        </w:rPr>
        <w:t xml:space="preserve">QUARTO TRIMESTRE </w:t>
      </w:r>
      <w:r w:rsidR="00A3515C" w:rsidRPr="00C26EF2">
        <w:rPr>
          <w:rFonts w:ascii="Arial" w:hAnsi="Arial" w:cs="Arial"/>
          <w:b/>
          <w:color w:val="000000" w:themeColor="text1"/>
          <w:sz w:val="20"/>
        </w:rPr>
        <w:t>ANCORA IN CALO</w:t>
      </w:r>
      <w:r w:rsidR="009761D9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10EE6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Pr="00C26EF2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F17502F" w14:textId="40D38932" w:rsidR="000851C9" w:rsidRDefault="000851C9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26EF2">
        <w:rPr>
          <w:rFonts w:ascii="Arial" w:hAnsi="Arial" w:cs="Arial"/>
          <w:color w:val="000000" w:themeColor="text1"/>
          <w:sz w:val="20"/>
        </w:rPr>
        <w:t>Dopo il vero e proprio boom degli ultimi anni, per il settore delle tecnologie per la trasformazione del legno e dei suoi derivati si delinea un altro trimestre negativo. È quanto emerge dal tradizionale appuntamento con l’</w:t>
      </w:r>
      <w:r w:rsidR="00F7011C" w:rsidRPr="00C26EF2">
        <w:rPr>
          <w:rFonts w:ascii="Arial" w:hAnsi="Arial" w:cs="Arial"/>
          <w:color w:val="000000" w:themeColor="text1"/>
          <w:sz w:val="20"/>
        </w:rPr>
        <w:t xml:space="preserve">indagine trimestrale realizzata dall’Ufficio studi di </w:t>
      </w:r>
      <w:proofErr w:type="spellStart"/>
      <w:r w:rsidR="00F7011C" w:rsidRPr="00C26EF2">
        <w:rPr>
          <w:rFonts w:ascii="Arial" w:hAnsi="Arial" w:cs="Arial"/>
          <w:b/>
          <w:bCs/>
          <w:color w:val="000000" w:themeColor="text1"/>
          <w:sz w:val="20"/>
        </w:rPr>
        <w:t>Acimall</w:t>
      </w:r>
      <w:proofErr w:type="spellEnd"/>
      <w:r w:rsidR="009720DF" w:rsidRPr="00C26EF2">
        <w:rPr>
          <w:rFonts w:ascii="Arial" w:hAnsi="Arial" w:cs="Arial"/>
          <w:color w:val="000000" w:themeColor="text1"/>
          <w:sz w:val="20"/>
        </w:rPr>
        <w:t>,</w:t>
      </w:r>
      <w:r w:rsidR="00F7011C" w:rsidRPr="00C26EF2">
        <w:rPr>
          <w:rFonts w:ascii="Arial" w:hAnsi="Arial" w:cs="Arial"/>
          <w:color w:val="000000" w:themeColor="text1"/>
          <w:sz w:val="20"/>
        </w:rPr>
        <w:t xml:space="preserve"> l’associazi</w:t>
      </w:r>
      <w:r w:rsidR="00F00EE7" w:rsidRPr="00C26EF2">
        <w:rPr>
          <w:rFonts w:ascii="Arial" w:hAnsi="Arial" w:cs="Arial"/>
          <w:color w:val="000000" w:themeColor="text1"/>
          <w:sz w:val="20"/>
        </w:rPr>
        <w:t xml:space="preserve">one che riunisce i costruttori italiani di tecnologie per il mondo del legno e del mobile, </w:t>
      </w:r>
      <w:r w:rsidRPr="00C26EF2">
        <w:rPr>
          <w:rFonts w:ascii="Arial" w:hAnsi="Arial" w:cs="Arial"/>
          <w:color w:val="000000" w:themeColor="text1"/>
          <w:sz w:val="20"/>
        </w:rPr>
        <w:t xml:space="preserve">che </w:t>
      </w:r>
      <w:r w:rsidR="00724026" w:rsidRPr="00C26EF2">
        <w:rPr>
          <w:rFonts w:ascii="Arial" w:hAnsi="Arial" w:cs="Arial"/>
          <w:color w:val="000000" w:themeColor="text1"/>
          <w:sz w:val="20"/>
        </w:rPr>
        <w:t xml:space="preserve">a livello di ordini </w:t>
      </w:r>
      <w:r w:rsidR="00F00EE7" w:rsidRPr="00C26EF2">
        <w:rPr>
          <w:rFonts w:ascii="Arial" w:hAnsi="Arial" w:cs="Arial"/>
          <w:color w:val="000000" w:themeColor="text1"/>
          <w:sz w:val="20"/>
        </w:rPr>
        <w:t xml:space="preserve">conferma </w:t>
      </w:r>
      <w:r w:rsidR="00A3515C" w:rsidRPr="00C26EF2">
        <w:rPr>
          <w:rFonts w:ascii="Arial" w:hAnsi="Arial" w:cs="Arial"/>
          <w:color w:val="000000" w:themeColor="text1"/>
          <w:sz w:val="20"/>
        </w:rPr>
        <w:t xml:space="preserve">i </w:t>
      </w:r>
      <w:r w:rsidR="00724026" w:rsidRPr="00C26EF2">
        <w:rPr>
          <w:rFonts w:ascii="Arial" w:hAnsi="Arial" w:cs="Arial"/>
          <w:color w:val="000000" w:themeColor="text1"/>
          <w:sz w:val="20"/>
        </w:rPr>
        <w:t>numeri in discesa</w:t>
      </w:r>
      <w:r w:rsidR="00A3515C" w:rsidRPr="00C26EF2">
        <w:rPr>
          <w:rFonts w:ascii="Arial" w:hAnsi="Arial" w:cs="Arial"/>
          <w:color w:val="000000" w:themeColor="text1"/>
          <w:sz w:val="20"/>
        </w:rPr>
        <w:t xml:space="preserve"> già </w:t>
      </w:r>
      <w:r w:rsidR="00C26EF2" w:rsidRPr="00C26EF2">
        <w:rPr>
          <w:rFonts w:ascii="Arial" w:hAnsi="Arial" w:cs="Arial"/>
          <w:color w:val="000000" w:themeColor="text1"/>
          <w:sz w:val="20"/>
        </w:rPr>
        <w:t>rilevat</w:t>
      </w:r>
      <w:r w:rsidR="00A3515C" w:rsidRPr="00C26EF2">
        <w:rPr>
          <w:rFonts w:ascii="Arial" w:hAnsi="Arial" w:cs="Arial"/>
          <w:color w:val="000000" w:themeColor="text1"/>
          <w:sz w:val="20"/>
        </w:rPr>
        <w:t>i nei periodi precedenti.</w:t>
      </w:r>
    </w:p>
    <w:p w14:paraId="41834A81" w14:textId="77777777" w:rsidR="000851C9" w:rsidRDefault="000851C9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11F5C253" w14:textId="14409150" w:rsidR="000851C9" w:rsidRDefault="000851C9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 dati relativi al </w:t>
      </w:r>
      <w:r w:rsidR="00724026">
        <w:rPr>
          <w:rFonts w:ascii="Arial" w:hAnsi="Arial" w:cs="Arial"/>
          <w:color w:val="000000" w:themeColor="text1"/>
          <w:sz w:val="20"/>
        </w:rPr>
        <w:t>periodo ottobre-dicembre</w:t>
      </w:r>
      <w:r>
        <w:rPr>
          <w:rFonts w:ascii="Arial" w:hAnsi="Arial" w:cs="Arial"/>
          <w:color w:val="000000" w:themeColor="text1"/>
          <w:sz w:val="20"/>
        </w:rPr>
        <w:t xml:space="preserve"> 2023 rivelano infatti una contrazione </w:t>
      </w:r>
      <w:r w:rsidR="00724026">
        <w:rPr>
          <w:rFonts w:ascii="Arial" w:hAnsi="Arial" w:cs="Arial"/>
          <w:color w:val="000000" w:themeColor="text1"/>
          <w:sz w:val="20"/>
        </w:rPr>
        <w:t xml:space="preserve">complessiva </w:t>
      </w:r>
      <w:r>
        <w:rPr>
          <w:rFonts w:ascii="Arial" w:hAnsi="Arial" w:cs="Arial"/>
          <w:color w:val="000000" w:themeColor="text1"/>
          <w:sz w:val="20"/>
        </w:rPr>
        <w:t xml:space="preserve">degli </w:t>
      </w:r>
      <w:r w:rsidR="00F00EE7" w:rsidRPr="00E92C27">
        <w:rPr>
          <w:rFonts w:ascii="Arial" w:hAnsi="Arial" w:cs="Arial"/>
          <w:b/>
          <w:color w:val="000000" w:themeColor="text1"/>
          <w:sz w:val="20"/>
        </w:rPr>
        <w:t>ordini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del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23,6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per cento rispetto allo stesso periodo 2022, un risultato </w:t>
      </w:r>
      <w:r>
        <w:rPr>
          <w:rFonts w:ascii="Arial" w:hAnsi="Arial" w:cs="Arial"/>
          <w:color w:val="000000" w:themeColor="text1"/>
          <w:sz w:val="20"/>
        </w:rPr>
        <w:t>che è la sommatoria della contenuta diminuzione degli ordini in arrivo dall’</w:t>
      </w:r>
      <w:r w:rsidRPr="000851C9">
        <w:rPr>
          <w:rFonts w:ascii="Arial" w:hAnsi="Arial" w:cs="Arial"/>
          <w:b/>
          <w:bCs/>
          <w:color w:val="000000" w:themeColor="text1"/>
          <w:sz w:val="20"/>
        </w:rPr>
        <w:t>estero</w:t>
      </w:r>
      <w:r>
        <w:rPr>
          <w:rFonts w:ascii="Arial" w:hAnsi="Arial" w:cs="Arial"/>
          <w:color w:val="000000" w:themeColor="text1"/>
          <w:sz w:val="20"/>
        </w:rPr>
        <w:t xml:space="preserve"> (meno 6,3 per cento) a cui fa purtroppo da contraltare un crollo della </w:t>
      </w:r>
      <w:r w:rsidRPr="000851C9">
        <w:rPr>
          <w:rFonts w:ascii="Arial" w:hAnsi="Arial" w:cs="Arial"/>
          <w:b/>
          <w:bCs/>
          <w:color w:val="000000" w:themeColor="text1"/>
          <w:sz w:val="20"/>
        </w:rPr>
        <w:t>domanda nazionale</w:t>
      </w:r>
      <w:r>
        <w:rPr>
          <w:rFonts w:ascii="Arial" w:hAnsi="Arial" w:cs="Arial"/>
          <w:color w:val="000000" w:themeColor="text1"/>
          <w:sz w:val="20"/>
        </w:rPr>
        <w:t xml:space="preserve"> (meno 48,1 per cento), dovuta in buona parte anche alle attese per l’entrata in vigore del nuovo provvedimento </w:t>
      </w:r>
      <w:r w:rsidRPr="000851C9">
        <w:rPr>
          <w:rFonts w:ascii="Arial" w:hAnsi="Arial" w:cs="Arial"/>
          <w:b/>
          <w:bCs/>
          <w:color w:val="000000" w:themeColor="text1"/>
          <w:sz w:val="20"/>
        </w:rPr>
        <w:t>“Industria 5.0”</w:t>
      </w:r>
      <w:r>
        <w:rPr>
          <w:rFonts w:ascii="Arial" w:hAnsi="Arial" w:cs="Arial"/>
          <w:color w:val="000000" w:themeColor="text1"/>
          <w:sz w:val="20"/>
        </w:rPr>
        <w:t xml:space="preserve">. Al ritorno alla normalità dopo i risultati eccezionali del triennio 2020-2022 si somma dunque l’attesa per questo nuovo </w:t>
      </w:r>
      <w:r w:rsidR="00724026">
        <w:rPr>
          <w:rFonts w:ascii="Arial" w:hAnsi="Arial" w:cs="Arial"/>
          <w:color w:val="000000" w:themeColor="text1"/>
          <w:sz w:val="20"/>
        </w:rPr>
        <w:t>decreto</w:t>
      </w:r>
      <w:r>
        <w:rPr>
          <w:rFonts w:ascii="Arial" w:hAnsi="Arial" w:cs="Arial"/>
          <w:color w:val="000000" w:themeColor="text1"/>
          <w:sz w:val="20"/>
        </w:rPr>
        <w:t xml:space="preserve"> di cui si tarda a definire con precisione i contorni, una attesa che non può che avere effetti negativi sulle decisioni di investimento in beni strumentali.</w:t>
      </w:r>
    </w:p>
    <w:p w14:paraId="1F378AF6" w14:textId="77777777" w:rsidR="00146A9C" w:rsidRPr="00F00EE7" w:rsidRDefault="00146A9C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5D3F51B" w14:textId="0F46C49B" w:rsid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settore delle tecnologie per il legno e il mobile può </w:t>
      </w:r>
      <w:r w:rsidR="000851C9">
        <w:rPr>
          <w:rFonts w:ascii="Arial" w:hAnsi="Arial" w:cs="Arial"/>
          <w:sz w:val="20"/>
        </w:rPr>
        <w:t xml:space="preserve">comunque </w:t>
      </w:r>
      <w:r>
        <w:rPr>
          <w:rFonts w:ascii="Arial" w:hAnsi="Arial" w:cs="Arial"/>
          <w:sz w:val="20"/>
        </w:rPr>
        <w:t xml:space="preserve">contare </w:t>
      </w:r>
      <w:r w:rsidR="000851C9">
        <w:rPr>
          <w:rFonts w:ascii="Arial" w:hAnsi="Arial" w:cs="Arial"/>
          <w:sz w:val="20"/>
        </w:rPr>
        <w:t xml:space="preserve">ancora </w:t>
      </w:r>
      <w:r>
        <w:rPr>
          <w:rFonts w:ascii="Arial" w:hAnsi="Arial" w:cs="Arial"/>
          <w:sz w:val="20"/>
        </w:rPr>
        <w:t xml:space="preserve">su un </w:t>
      </w:r>
      <w:r w:rsidRPr="00245DE1">
        <w:rPr>
          <w:rFonts w:ascii="Arial" w:hAnsi="Arial" w:cs="Arial"/>
          <w:b/>
          <w:sz w:val="20"/>
        </w:rPr>
        <w:t>portafoglio ordini</w:t>
      </w:r>
      <w:r>
        <w:rPr>
          <w:rFonts w:ascii="Arial" w:hAnsi="Arial" w:cs="Arial"/>
          <w:sz w:val="20"/>
        </w:rPr>
        <w:t xml:space="preserve"> </w:t>
      </w:r>
      <w:r w:rsidR="000851C9">
        <w:rPr>
          <w:rFonts w:ascii="Arial" w:hAnsi="Arial" w:cs="Arial"/>
          <w:sz w:val="20"/>
        </w:rPr>
        <w:t xml:space="preserve">importante, </w:t>
      </w:r>
      <w:r w:rsidRPr="00F00EE7">
        <w:rPr>
          <w:rFonts w:ascii="Arial" w:hAnsi="Arial" w:cs="Arial"/>
          <w:sz w:val="20"/>
        </w:rPr>
        <w:t xml:space="preserve">con </w:t>
      </w:r>
      <w:r w:rsidR="000851C9">
        <w:rPr>
          <w:rFonts w:ascii="Arial" w:hAnsi="Arial" w:cs="Arial"/>
          <w:sz w:val="20"/>
        </w:rPr>
        <w:t>4,5</w:t>
      </w:r>
      <w:r w:rsidRPr="00F00EE7">
        <w:rPr>
          <w:rFonts w:ascii="Arial" w:hAnsi="Arial" w:cs="Arial"/>
          <w:sz w:val="20"/>
        </w:rPr>
        <w:t xml:space="preserve"> mesi di produzione assicurata</w:t>
      </w:r>
      <w:r w:rsidR="000851C9">
        <w:rPr>
          <w:rFonts w:ascii="Arial" w:hAnsi="Arial" w:cs="Arial"/>
          <w:sz w:val="20"/>
        </w:rPr>
        <w:t xml:space="preserve">, proprio grazie al “fieno messo in cascina” con la forte domanda </w:t>
      </w:r>
      <w:r w:rsidR="00E211D9">
        <w:rPr>
          <w:rFonts w:ascii="Arial" w:hAnsi="Arial" w:cs="Arial"/>
          <w:sz w:val="20"/>
        </w:rPr>
        <w:t xml:space="preserve">degli anni scorsi. In rialzo i </w:t>
      </w:r>
      <w:r w:rsidR="00E211D9" w:rsidRPr="00E211D9">
        <w:rPr>
          <w:rFonts w:ascii="Arial" w:hAnsi="Arial" w:cs="Arial"/>
          <w:b/>
          <w:bCs/>
          <w:sz w:val="20"/>
        </w:rPr>
        <w:t>prezzi</w:t>
      </w:r>
      <w:r w:rsidR="00E211D9">
        <w:rPr>
          <w:rFonts w:ascii="Arial" w:hAnsi="Arial" w:cs="Arial"/>
          <w:sz w:val="20"/>
        </w:rPr>
        <w:t>, che dal gennaio 2023 sono aumentati dell’1,9 per cento.</w:t>
      </w:r>
    </w:p>
    <w:p w14:paraId="47A421A1" w14:textId="77777777" w:rsidR="00245DE1" w:rsidRP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16CD1A48" w14:textId="557502FF" w:rsidR="00E211D9" w:rsidRDefault="00F00EE7" w:rsidP="0072402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sz w:val="20"/>
        </w:rPr>
        <w:t>L’</w:t>
      </w:r>
      <w:r w:rsidRPr="00245DE1">
        <w:rPr>
          <w:rFonts w:ascii="Arial" w:hAnsi="Arial" w:cs="Arial"/>
          <w:b/>
          <w:sz w:val="20"/>
        </w:rPr>
        <w:t xml:space="preserve">indagine qualitativa </w:t>
      </w:r>
      <w:r w:rsidR="00830C43">
        <w:rPr>
          <w:rFonts w:ascii="Arial" w:hAnsi="Arial" w:cs="Arial"/>
          <w:sz w:val="20"/>
        </w:rPr>
        <w:t xml:space="preserve">rivela che il </w:t>
      </w:r>
      <w:r w:rsidR="00E211D9">
        <w:rPr>
          <w:rFonts w:ascii="Arial" w:hAnsi="Arial" w:cs="Arial"/>
          <w:sz w:val="20"/>
        </w:rPr>
        <w:t>55</w:t>
      </w:r>
      <w:r w:rsidR="00830C43">
        <w:rPr>
          <w:rFonts w:ascii="Arial" w:hAnsi="Arial" w:cs="Arial"/>
          <w:sz w:val="20"/>
        </w:rPr>
        <w:t xml:space="preserve"> per cento del campione delle aziende intervistate preved</w:t>
      </w:r>
      <w:r w:rsidR="00C11B67">
        <w:rPr>
          <w:rFonts w:ascii="Arial" w:hAnsi="Arial" w:cs="Arial"/>
          <w:sz w:val="20"/>
        </w:rPr>
        <w:t>e</w:t>
      </w:r>
      <w:r w:rsidR="00830C43">
        <w:rPr>
          <w:rFonts w:ascii="Arial" w:hAnsi="Arial" w:cs="Arial"/>
          <w:sz w:val="20"/>
        </w:rPr>
        <w:t xml:space="preserve"> una sostanziale stabilità della produzione, mentre il </w:t>
      </w:r>
      <w:r w:rsidR="00E211D9">
        <w:rPr>
          <w:rFonts w:ascii="Arial" w:hAnsi="Arial" w:cs="Arial"/>
          <w:sz w:val="20"/>
        </w:rPr>
        <w:t>25</w:t>
      </w:r>
      <w:r w:rsidR="00830C43">
        <w:rPr>
          <w:rFonts w:ascii="Arial" w:hAnsi="Arial" w:cs="Arial"/>
          <w:sz w:val="20"/>
        </w:rPr>
        <w:t xml:space="preserve"> per cento si aspetta una </w:t>
      </w:r>
      <w:r w:rsidR="00E211D9">
        <w:rPr>
          <w:rFonts w:ascii="Arial" w:hAnsi="Arial" w:cs="Arial"/>
          <w:sz w:val="20"/>
        </w:rPr>
        <w:t xml:space="preserve">crescita e il 20 per cento una </w:t>
      </w:r>
      <w:r w:rsidR="00830C43">
        <w:rPr>
          <w:rFonts w:ascii="Arial" w:hAnsi="Arial" w:cs="Arial"/>
          <w:sz w:val="20"/>
        </w:rPr>
        <w:t xml:space="preserve">ulteriore </w:t>
      </w:r>
      <w:r w:rsidR="00830C43" w:rsidRPr="004E5439">
        <w:rPr>
          <w:rFonts w:ascii="Arial" w:hAnsi="Arial" w:cs="Arial"/>
          <w:color w:val="000000" w:themeColor="text1"/>
          <w:sz w:val="20"/>
        </w:rPr>
        <w:t>diminuzione</w:t>
      </w:r>
      <w:r w:rsidR="00724026">
        <w:rPr>
          <w:rFonts w:ascii="Arial" w:hAnsi="Arial" w:cs="Arial"/>
          <w:color w:val="000000" w:themeColor="text1"/>
          <w:sz w:val="20"/>
        </w:rPr>
        <w:t xml:space="preserve">. </w:t>
      </w:r>
      <w:r w:rsidR="00E211D9">
        <w:rPr>
          <w:rFonts w:ascii="Arial" w:hAnsi="Arial" w:cs="Arial"/>
          <w:color w:val="000000" w:themeColor="text1"/>
          <w:sz w:val="20"/>
        </w:rPr>
        <w:t>Il 10 per cento delle aziende intervistate vede in crescita l’</w:t>
      </w:r>
      <w:r w:rsidR="00830C43" w:rsidRPr="004E5439">
        <w:rPr>
          <w:rFonts w:ascii="Arial" w:hAnsi="Arial" w:cs="Arial"/>
          <w:b/>
          <w:color w:val="000000" w:themeColor="text1"/>
          <w:sz w:val="20"/>
        </w:rPr>
        <w:t>occupazione</w:t>
      </w:r>
      <w:r w:rsidR="00E211D9">
        <w:rPr>
          <w:rFonts w:ascii="Arial" w:hAnsi="Arial" w:cs="Arial"/>
          <w:color w:val="000000" w:themeColor="text1"/>
          <w:sz w:val="20"/>
        </w:rPr>
        <w:t>, mentre il 70 per cento propende per una sostanziale stabilità e il 20 per cento per una diminuzione.</w:t>
      </w:r>
    </w:p>
    <w:p w14:paraId="6966074B" w14:textId="02E7F5A7" w:rsidR="00CB7879" w:rsidRPr="004E5439" w:rsidRDefault="00830C43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4E5439">
        <w:rPr>
          <w:rFonts w:ascii="Arial" w:hAnsi="Arial" w:cs="Arial"/>
          <w:b/>
          <w:color w:val="000000" w:themeColor="text1"/>
          <w:sz w:val="20"/>
        </w:rPr>
        <w:t>Giacenze</w:t>
      </w:r>
      <w:r w:rsidRPr="004E5439">
        <w:rPr>
          <w:rFonts w:ascii="Arial" w:hAnsi="Arial" w:cs="Arial"/>
          <w:color w:val="000000" w:themeColor="text1"/>
          <w:sz w:val="20"/>
        </w:rPr>
        <w:t xml:space="preserve"> stabili per il </w:t>
      </w:r>
      <w:r w:rsidR="00E211D9">
        <w:rPr>
          <w:rFonts w:ascii="Arial" w:hAnsi="Arial" w:cs="Arial"/>
          <w:color w:val="000000" w:themeColor="text1"/>
          <w:sz w:val="20"/>
        </w:rPr>
        <w:t>50</w:t>
      </w:r>
      <w:r w:rsidRPr="004E5439">
        <w:rPr>
          <w:rFonts w:ascii="Arial" w:hAnsi="Arial" w:cs="Arial"/>
          <w:color w:val="000000" w:themeColor="text1"/>
          <w:sz w:val="20"/>
        </w:rPr>
        <w:t xml:space="preserve"> per cento degli intervistati, 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in aumento per il </w:t>
      </w:r>
      <w:r w:rsidR="00E211D9">
        <w:rPr>
          <w:rFonts w:ascii="Arial" w:hAnsi="Arial" w:cs="Arial"/>
          <w:color w:val="000000" w:themeColor="text1"/>
          <w:sz w:val="20"/>
        </w:rPr>
        <w:t>20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 e in diminuzione per </w:t>
      </w:r>
      <w:r w:rsidR="00E211D9">
        <w:rPr>
          <w:rFonts w:ascii="Arial" w:hAnsi="Arial" w:cs="Arial"/>
          <w:color w:val="000000" w:themeColor="text1"/>
          <w:sz w:val="20"/>
        </w:rPr>
        <w:t>il restante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3</w:t>
      </w:r>
      <w:r w:rsidR="00E211D9">
        <w:rPr>
          <w:rFonts w:ascii="Arial" w:hAnsi="Arial" w:cs="Arial"/>
          <w:color w:val="000000" w:themeColor="text1"/>
          <w:sz w:val="20"/>
        </w:rPr>
        <w:t>0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cento.</w:t>
      </w:r>
    </w:p>
    <w:p w14:paraId="593DD594" w14:textId="77777777" w:rsidR="00CB7879" w:rsidRPr="004E5439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0D859D06" w14:textId="03B60B1D" w:rsidR="00E211D9" w:rsidRDefault="00E211D9" w:rsidP="0023105F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Veniamo ai risultati de</w:t>
      </w:r>
      <w:r w:rsidR="00AE4257" w:rsidRPr="004E5439">
        <w:rPr>
          <w:rFonts w:ascii="Arial" w:hAnsi="Arial" w:cs="Arial"/>
          <w:color w:val="000000" w:themeColor="text1"/>
          <w:sz w:val="20"/>
        </w:rPr>
        <w:t>ll’</w:t>
      </w:r>
      <w:r w:rsidR="00AE4257" w:rsidRPr="004E5439">
        <w:rPr>
          <w:rFonts w:ascii="Arial" w:hAnsi="Arial" w:cs="Arial"/>
          <w:b/>
          <w:color w:val="000000" w:themeColor="text1"/>
          <w:sz w:val="20"/>
        </w:rPr>
        <w:t>indagine previsionale</w:t>
      </w:r>
      <w:r>
        <w:rPr>
          <w:rFonts w:ascii="Arial" w:hAnsi="Arial" w:cs="Arial"/>
          <w:color w:val="000000" w:themeColor="text1"/>
          <w:sz w:val="20"/>
        </w:rPr>
        <w:t>: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per quanto riguarda il </w:t>
      </w:r>
      <w:r w:rsidRPr="00E211D9">
        <w:rPr>
          <w:rFonts w:ascii="Arial" w:hAnsi="Arial" w:cs="Arial"/>
          <w:b/>
          <w:bCs/>
          <w:color w:val="000000" w:themeColor="text1"/>
          <w:sz w:val="20"/>
        </w:rPr>
        <w:t>mercato interno</w:t>
      </w:r>
      <w:r>
        <w:rPr>
          <w:rFonts w:ascii="Arial" w:hAnsi="Arial" w:cs="Arial"/>
          <w:color w:val="000000" w:themeColor="text1"/>
          <w:sz w:val="20"/>
        </w:rPr>
        <w:t xml:space="preserve"> i 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dati elaborati dall’Ufficio Studi di </w:t>
      </w:r>
      <w:proofErr w:type="spellStart"/>
      <w:r w:rsidR="00AE4257" w:rsidRPr="004E5439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="00AE4257" w:rsidRPr="004E5439">
        <w:rPr>
          <w:rFonts w:ascii="Arial" w:hAnsi="Arial" w:cs="Arial"/>
          <w:color w:val="000000" w:themeColor="text1"/>
          <w:sz w:val="20"/>
        </w:rPr>
        <w:t xml:space="preserve"> rivelano </w:t>
      </w:r>
      <w:r>
        <w:rPr>
          <w:rFonts w:ascii="Arial" w:hAnsi="Arial" w:cs="Arial"/>
          <w:color w:val="000000" w:themeColor="text1"/>
          <w:sz w:val="20"/>
        </w:rPr>
        <w:t>che il 50 per cento del campione si attende una certa stabilità</w:t>
      </w:r>
      <w:r w:rsidR="00724026">
        <w:rPr>
          <w:rFonts w:ascii="Arial" w:hAnsi="Arial" w:cs="Arial"/>
          <w:color w:val="000000" w:themeColor="text1"/>
          <w:sz w:val="20"/>
        </w:rPr>
        <w:t>,</w:t>
      </w:r>
      <w:r>
        <w:rPr>
          <w:rFonts w:ascii="Arial" w:hAnsi="Arial" w:cs="Arial"/>
          <w:color w:val="000000" w:themeColor="text1"/>
          <w:sz w:val="20"/>
        </w:rPr>
        <w:t xml:space="preserve"> il 15 per cento propende per un aumento degli ordini</w:t>
      </w:r>
      <w:r w:rsidR="00724026">
        <w:rPr>
          <w:rFonts w:ascii="Arial" w:hAnsi="Arial" w:cs="Arial"/>
          <w:color w:val="000000" w:themeColor="text1"/>
          <w:sz w:val="20"/>
        </w:rPr>
        <w:t xml:space="preserve"> e </w:t>
      </w:r>
      <w:r>
        <w:rPr>
          <w:rFonts w:ascii="Arial" w:hAnsi="Arial" w:cs="Arial"/>
          <w:color w:val="000000" w:themeColor="text1"/>
          <w:sz w:val="20"/>
        </w:rPr>
        <w:t>il 35 per cento si a</w:t>
      </w:r>
      <w:r w:rsidR="00856DB9">
        <w:rPr>
          <w:rFonts w:ascii="Arial" w:hAnsi="Arial" w:cs="Arial"/>
          <w:color w:val="000000" w:themeColor="text1"/>
          <w:sz w:val="20"/>
        </w:rPr>
        <w:t>spetta</w:t>
      </w:r>
      <w:r>
        <w:rPr>
          <w:rFonts w:ascii="Arial" w:hAnsi="Arial" w:cs="Arial"/>
          <w:color w:val="000000" w:themeColor="text1"/>
          <w:sz w:val="20"/>
        </w:rPr>
        <w:t xml:space="preserve"> una diminuzione.</w:t>
      </w:r>
    </w:p>
    <w:p w14:paraId="0DCBA0C2" w14:textId="152A4C2A" w:rsidR="00856DB9" w:rsidRDefault="00606A53" w:rsidP="0023105F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Più equilibrata la situazione per quanto riguarda 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il </w:t>
      </w:r>
      <w:r w:rsidR="00F00EE7" w:rsidRPr="004E5439">
        <w:rPr>
          <w:rFonts w:ascii="Arial" w:hAnsi="Arial" w:cs="Arial"/>
          <w:b/>
          <w:color w:val="000000" w:themeColor="text1"/>
          <w:sz w:val="20"/>
        </w:rPr>
        <w:t>mercato estero</w:t>
      </w:r>
      <w:r>
        <w:rPr>
          <w:rFonts w:ascii="Arial" w:hAnsi="Arial" w:cs="Arial"/>
          <w:color w:val="000000" w:themeColor="text1"/>
          <w:sz w:val="20"/>
        </w:rPr>
        <w:t xml:space="preserve">: </w:t>
      </w:r>
      <w:r w:rsidR="00856DB9">
        <w:rPr>
          <w:rFonts w:ascii="Arial" w:hAnsi="Arial" w:cs="Arial"/>
          <w:color w:val="000000" w:themeColor="text1"/>
          <w:sz w:val="20"/>
        </w:rPr>
        <w:t>il 40 per cento del campione crede in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 un andamento stabile</w:t>
      </w:r>
      <w:r w:rsidR="00856DB9">
        <w:rPr>
          <w:rFonts w:ascii="Arial" w:hAnsi="Arial" w:cs="Arial"/>
          <w:color w:val="000000" w:themeColor="text1"/>
          <w:sz w:val="20"/>
        </w:rPr>
        <w:t>, mentre le cose peggioreranno secondo il 35 per cento degli intervistati. Il restante 25 per cento si attende invece una crescita degli ordini.</w:t>
      </w:r>
    </w:p>
    <w:p w14:paraId="3219523F" w14:textId="77777777" w:rsidR="0023105F" w:rsidRDefault="0023105F" w:rsidP="0023105F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79775E41" w14:textId="7AB5BF0C" w:rsidR="00F00EE7" w:rsidRDefault="0023105F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  <w:r w:rsidRPr="004E5439">
        <w:rPr>
          <w:rFonts w:ascii="Arial" w:hAnsi="Arial" w:cs="Arial"/>
          <w:i/>
          <w:sz w:val="20"/>
        </w:rPr>
        <w:t>“</w:t>
      </w:r>
      <w:r w:rsidR="00856DB9">
        <w:rPr>
          <w:rFonts w:ascii="Arial" w:hAnsi="Arial" w:cs="Arial"/>
          <w:i/>
          <w:sz w:val="20"/>
        </w:rPr>
        <w:t>Non ci resta che ribadire quanto andiamo oramai ripetendo da mes</w:t>
      </w:r>
      <w:r w:rsidR="00724026">
        <w:rPr>
          <w:rFonts w:ascii="Arial" w:hAnsi="Arial" w:cs="Arial"/>
          <w:i/>
          <w:sz w:val="20"/>
        </w:rPr>
        <w:t>i</w:t>
      </w:r>
      <w:r w:rsidR="00856DB9">
        <w:rPr>
          <w:rFonts w:ascii="Arial" w:hAnsi="Arial" w:cs="Arial"/>
          <w:i/>
          <w:sz w:val="20"/>
        </w:rPr>
        <w:t xml:space="preserve">”, </w:t>
      </w:r>
      <w:r w:rsidR="00856DB9" w:rsidRPr="00856DB9">
        <w:rPr>
          <w:rFonts w:ascii="Arial" w:hAnsi="Arial" w:cs="Arial"/>
          <w:iCs/>
          <w:sz w:val="20"/>
        </w:rPr>
        <w:t xml:space="preserve">ha commentato </w:t>
      </w:r>
      <w:r w:rsidRPr="00856DB9">
        <w:rPr>
          <w:rFonts w:ascii="Arial" w:hAnsi="Arial" w:cs="Arial"/>
          <w:iCs/>
          <w:sz w:val="20"/>
        </w:rPr>
        <w:t xml:space="preserve">il direttore di </w:t>
      </w:r>
      <w:proofErr w:type="spellStart"/>
      <w:r>
        <w:rPr>
          <w:rFonts w:ascii="Arial" w:hAnsi="Arial" w:cs="Arial"/>
          <w:sz w:val="20"/>
        </w:rPr>
        <w:t>Acimall</w:t>
      </w:r>
      <w:proofErr w:type="spellEnd"/>
      <w:r>
        <w:rPr>
          <w:rFonts w:ascii="Arial" w:hAnsi="Arial" w:cs="Arial"/>
          <w:sz w:val="20"/>
        </w:rPr>
        <w:t xml:space="preserve">, </w:t>
      </w:r>
      <w:r w:rsidRPr="00BD6D92">
        <w:rPr>
          <w:rFonts w:ascii="Arial" w:hAnsi="Arial" w:cs="Arial"/>
          <w:b/>
          <w:sz w:val="20"/>
        </w:rPr>
        <w:t>Dario Corbetta</w:t>
      </w:r>
      <w:r w:rsidR="00856DB9" w:rsidRPr="00856DB9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856DB9" w:rsidRPr="00724026">
        <w:rPr>
          <w:rFonts w:ascii="Arial" w:hAnsi="Arial" w:cs="Arial"/>
          <w:i/>
          <w:iCs/>
          <w:sz w:val="20"/>
        </w:rPr>
        <w:t>“Il recente passato ha permesso al</w:t>
      </w:r>
      <w:r w:rsidR="007B78E8" w:rsidRPr="00724026">
        <w:rPr>
          <w:rFonts w:ascii="Arial" w:hAnsi="Arial" w:cs="Arial"/>
          <w:i/>
          <w:iCs/>
          <w:sz w:val="20"/>
        </w:rPr>
        <w:t xml:space="preserve"> </w:t>
      </w:r>
      <w:r w:rsidR="00856DB9" w:rsidRPr="00724026">
        <w:rPr>
          <w:rFonts w:ascii="Arial" w:hAnsi="Arial" w:cs="Arial"/>
          <w:i/>
          <w:iCs/>
          <w:sz w:val="20"/>
        </w:rPr>
        <w:t>settore di vivere una stagione di grande posi</w:t>
      </w:r>
      <w:r w:rsidR="007B78E8" w:rsidRPr="00724026">
        <w:rPr>
          <w:rFonts w:ascii="Arial" w:hAnsi="Arial" w:cs="Arial"/>
          <w:i/>
          <w:iCs/>
          <w:sz w:val="20"/>
        </w:rPr>
        <w:t>tività che non poteva certo durare per sempre e ora dobbiamo fare i conti con un ritorno ai valori “</w:t>
      </w:r>
      <w:proofErr w:type="spellStart"/>
      <w:r w:rsidR="007B78E8" w:rsidRPr="00724026">
        <w:rPr>
          <w:rFonts w:ascii="Arial" w:hAnsi="Arial" w:cs="Arial"/>
          <w:i/>
          <w:iCs/>
          <w:sz w:val="20"/>
        </w:rPr>
        <w:t>pre</w:t>
      </w:r>
      <w:proofErr w:type="spellEnd"/>
      <w:r w:rsidR="007B78E8" w:rsidRPr="00724026">
        <w:rPr>
          <w:rFonts w:ascii="Arial" w:hAnsi="Arial" w:cs="Arial"/>
          <w:i/>
          <w:iCs/>
          <w:sz w:val="20"/>
        </w:rPr>
        <w:t xml:space="preserve">-Covid”. Una situazione che non deve allarmare le imprese italiane, </w:t>
      </w:r>
      <w:r w:rsidR="004317DD" w:rsidRPr="00724026">
        <w:rPr>
          <w:rFonts w:ascii="Arial" w:hAnsi="Arial" w:cs="Arial"/>
          <w:i/>
          <w:iCs/>
          <w:sz w:val="20"/>
        </w:rPr>
        <w:t>perfettamente in grado di affrontare qualsiasi situazione, come la storia del nostro settore ha sempre dimostrato. Indubbiamente la definizione dei termini del decreto “Industria 5.0” e di cosa possa rappresentare concretamente potrebbe avere un forte impatto sulla dinamica che i n</w:t>
      </w:r>
      <w:r w:rsidR="00724026" w:rsidRPr="00724026">
        <w:rPr>
          <w:rFonts w:ascii="Arial" w:hAnsi="Arial" w:cs="Arial"/>
          <w:i/>
          <w:iCs/>
          <w:sz w:val="20"/>
        </w:rPr>
        <w:t>os</w:t>
      </w:r>
      <w:r w:rsidR="004317DD" w:rsidRPr="00724026">
        <w:rPr>
          <w:rFonts w:ascii="Arial" w:hAnsi="Arial" w:cs="Arial"/>
          <w:i/>
          <w:iCs/>
          <w:sz w:val="20"/>
        </w:rPr>
        <w:t xml:space="preserve">tri dati rivelano ed è </w:t>
      </w:r>
      <w:r w:rsidR="00724026" w:rsidRPr="00724026">
        <w:rPr>
          <w:rFonts w:ascii="Arial" w:hAnsi="Arial" w:cs="Arial"/>
          <w:i/>
          <w:iCs/>
          <w:sz w:val="20"/>
        </w:rPr>
        <w:t>in questa direzione che tutto il mondo della</w:t>
      </w:r>
      <w:r w:rsidR="004317DD" w:rsidRPr="00724026">
        <w:rPr>
          <w:rFonts w:ascii="Arial" w:hAnsi="Arial" w:cs="Arial"/>
          <w:i/>
          <w:iCs/>
          <w:sz w:val="20"/>
        </w:rPr>
        <w:t xml:space="preserve"> mecca</w:t>
      </w:r>
      <w:r w:rsidR="00724026" w:rsidRPr="00724026">
        <w:rPr>
          <w:rFonts w:ascii="Arial" w:hAnsi="Arial" w:cs="Arial"/>
          <w:i/>
          <w:iCs/>
          <w:sz w:val="20"/>
        </w:rPr>
        <w:t>n</w:t>
      </w:r>
      <w:r w:rsidR="004317DD" w:rsidRPr="00724026">
        <w:rPr>
          <w:rFonts w:ascii="Arial" w:hAnsi="Arial" w:cs="Arial"/>
          <w:i/>
          <w:iCs/>
          <w:sz w:val="20"/>
        </w:rPr>
        <w:t xml:space="preserve">ica strumentale </w:t>
      </w:r>
      <w:r w:rsidR="00724026" w:rsidRPr="00724026">
        <w:rPr>
          <w:rFonts w:ascii="Arial" w:hAnsi="Arial" w:cs="Arial"/>
          <w:i/>
          <w:iCs/>
          <w:sz w:val="20"/>
        </w:rPr>
        <w:t>sta operando concretamente”.</w:t>
      </w:r>
    </w:p>
    <w:p w14:paraId="69462C37" w14:textId="77777777" w:rsidR="00724026" w:rsidRPr="00724026" w:rsidRDefault="00724026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B7A4" w14:textId="77777777" w:rsidR="00342D10" w:rsidRDefault="00342D10">
      <w:r>
        <w:separator/>
      </w:r>
    </w:p>
  </w:endnote>
  <w:endnote w:type="continuationSeparator" w:id="0">
    <w:p w14:paraId="301D1E59" w14:textId="77777777" w:rsidR="00342D10" w:rsidRDefault="0034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255E" w14:textId="77777777" w:rsidR="00342D10" w:rsidRDefault="00342D10">
      <w:r>
        <w:separator/>
      </w:r>
    </w:p>
  </w:footnote>
  <w:footnote w:type="continuationSeparator" w:id="0">
    <w:p w14:paraId="4688BEEE" w14:textId="77777777" w:rsidR="00342D10" w:rsidRDefault="0034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491808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724138228">
    <w:abstractNumId w:val="2"/>
  </w:num>
  <w:num w:numId="3" w16cid:durableId="28824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E31"/>
    <w:rsid w:val="00010D59"/>
    <w:rsid w:val="0001539F"/>
    <w:rsid w:val="0001721B"/>
    <w:rsid w:val="000851C9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12CA"/>
    <w:rsid w:val="00181C29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5DE1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304533"/>
    <w:rsid w:val="00305B4C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C0EC3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026"/>
    <w:rsid w:val="00724BEA"/>
    <w:rsid w:val="00736007"/>
    <w:rsid w:val="007443A2"/>
    <w:rsid w:val="00760EDC"/>
    <w:rsid w:val="007611D0"/>
    <w:rsid w:val="00762E78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D28CA"/>
    <w:rsid w:val="007E06BB"/>
    <w:rsid w:val="007E5480"/>
    <w:rsid w:val="00800F6A"/>
    <w:rsid w:val="0080513A"/>
    <w:rsid w:val="00807D67"/>
    <w:rsid w:val="00830C43"/>
    <w:rsid w:val="00840088"/>
    <w:rsid w:val="00840B4A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04C4"/>
    <w:rsid w:val="00A018A0"/>
    <w:rsid w:val="00A029E7"/>
    <w:rsid w:val="00A108DB"/>
    <w:rsid w:val="00A24050"/>
    <w:rsid w:val="00A24489"/>
    <w:rsid w:val="00A2581D"/>
    <w:rsid w:val="00A3515C"/>
    <w:rsid w:val="00A60694"/>
    <w:rsid w:val="00A76779"/>
    <w:rsid w:val="00A86E2C"/>
    <w:rsid w:val="00AB4D14"/>
    <w:rsid w:val="00AB77FB"/>
    <w:rsid w:val="00AB7930"/>
    <w:rsid w:val="00AE1B9E"/>
    <w:rsid w:val="00AE4257"/>
    <w:rsid w:val="00AE51E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257D3"/>
    <w:rsid w:val="00C26EF2"/>
    <w:rsid w:val="00C313DA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B7879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11D9"/>
    <w:rsid w:val="00E2671D"/>
    <w:rsid w:val="00E26F68"/>
    <w:rsid w:val="00E6024D"/>
    <w:rsid w:val="00E60591"/>
    <w:rsid w:val="00E65415"/>
    <w:rsid w:val="00E655B9"/>
    <w:rsid w:val="00E66C6E"/>
    <w:rsid w:val="00E92C27"/>
    <w:rsid w:val="00EA05AD"/>
    <w:rsid w:val="00ED118D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5DF123D3-582A-4732-99AF-E0C59B9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3836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2024-02-14T08:00:00Z</cp:lastPrinted>
  <dcterms:created xsi:type="dcterms:W3CDTF">2024-02-14T11:17:00Z</dcterms:created>
  <dcterms:modified xsi:type="dcterms:W3CDTF">2024-02-14T11:17:00Z</dcterms:modified>
</cp:coreProperties>
</file>