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C62170">
            <w:pPr>
              <w:tabs>
                <w:tab w:val="left" w:pos="-430"/>
                <w:tab w:val="left" w:pos="426"/>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C62170">
            <w:pPr>
              <w:pStyle w:val="Titolo1"/>
              <w:tabs>
                <w:tab w:val="left" w:pos="426"/>
              </w:tabs>
              <w:ind w:right="212"/>
              <w:jc w:val="both"/>
              <w:rPr>
                <w:sz w:val="18"/>
              </w:rPr>
            </w:pPr>
            <w:r>
              <w:rPr>
                <w:sz w:val="18"/>
              </w:rPr>
              <w:t>Acimall</w:t>
            </w:r>
          </w:p>
          <w:p w14:paraId="74123824" w14:textId="77777777" w:rsidR="00C12950" w:rsidRDefault="00C12950" w:rsidP="00C62170">
            <w:pPr>
              <w:tabs>
                <w:tab w:val="left" w:pos="426"/>
              </w:tabs>
              <w:ind w:right="212"/>
              <w:jc w:val="both"/>
              <w:rPr>
                <w:rFonts w:ascii="Helvetica" w:hAnsi="Helvetica"/>
                <w:sz w:val="16"/>
              </w:rPr>
            </w:pPr>
            <w:r>
              <w:rPr>
                <w:rFonts w:ascii="Helvetica" w:hAnsi="Helvetica"/>
                <w:sz w:val="16"/>
              </w:rPr>
              <w:t>Centro Direzionale Milanofiori</w:t>
            </w:r>
          </w:p>
          <w:p w14:paraId="7A00A7EC" w14:textId="0C87C558" w:rsidR="00C12950" w:rsidRDefault="00C12950" w:rsidP="00C62170">
            <w:pPr>
              <w:tabs>
                <w:tab w:val="left" w:pos="426"/>
              </w:tabs>
              <w:ind w:right="212"/>
              <w:jc w:val="both"/>
              <w:rPr>
                <w:rFonts w:ascii="Helvetica" w:hAnsi="Helvetica"/>
                <w:sz w:val="16"/>
              </w:rPr>
            </w:pPr>
            <w:r>
              <w:rPr>
                <w:rFonts w:ascii="Helvetica" w:hAnsi="Helvetica"/>
                <w:sz w:val="16"/>
              </w:rPr>
              <w:t>Strada</w:t>
            </w:r>
            <w:r w:rsidR="000C5C5F">
              <w:rPr>
                <w:rFonts w:ascii="Helvetica" w:hAnsi="Helvetica"/>
                <w:sz w:val="16"/>
              </w:rPr>
              <w:t xml:space="preserve"> </w:t>
            </w:r>
            <w:r w:rsidR="00C87EBA">
              <w:rPr>
                <w:rFonts w:ascii="Helvetica" w:hAnsi="Helvetica"/>
                <w:sz w:val="16"/>
              </w:rPr>
              <w:t>1</w:t>
            </w:r>
            <w:r>
              <w:rPr>
                <w:rFonts w:ascii="Helvetica" w:hAnsi="Helvetica"/>
                <w:sz w:val="16"/>
              </w:rPr>
              <w:t xml:space="preserve"> - Palazzo F3</w:t>
            </w:r>
          </w:p>
          <w:p w14:paraId="063709D7" w14:textId="57C3C08B" w:rsidR="00C12950" w:rsidRDefault="00C313DA" w:rsidP="00C62170">
            <w:pPr>
              <w:tabs>
                <w:tab w:val="left" w:pos="426"/>
              </w:tabs>
              <w:ind w:right="212"/>
              <w:jc w:val="both"/>
              <w:rPr>
                <w:rFonts w:ascii="Helvetica" w:hAnsi="Helvetica"/>
                <w:sz w:val="16"/>
              </w:rPr>
            </w:pPr>
            <w:r>
              <w:rPr>
                <w:rFonts w:ascii="Helvetica" w:hAnsi="Helvetica"/>
                <w:sz w:val="16"/>
              </w:rPr>
              <w:t>I-20057</w:t>
            </w:r>
            <w:r w:rsidR="00C12950">
              <w:rPr>
                <w:rFonts w:ascii="Helvetica" w:hAnsi="Helvetica"/>
                <w:sz w:val="16"/>
              </w:rPr>
              <w:t xml:space="preserve"> Assago (Milano)</w:t>
            </w:r>
          </w:p>
          <w:p w14:paraId="08812F63" w14:textId="77777777" w:rsidR="00C12950" w:rsidRDefault="00C12950" w:rsidP="00C62170">
            <w:pPr>
              <w:tabs>
                <w:tab w:val="left" w:pos="426"/>
              </w:tabs>
              <w:ind w:right="212"/>
              <w:jc w:val="both"/>
              <w:rPr>
                <w:rFonts w:ascii="Helvetica" w:hAnsi="Helvetica"/>
                <w:sz w:val="16"/>
              </w:rPr>
            </w:pPr>
            <w:r>
              <w:rPr>
                <w:rFonts w:ascii="Helvetica" w:hAnsi="Helvetica"/>
                <w:sz w:val="16"/>
              </w:rPr>
              <w:t>phone +39 02 89210200</w:t>
            </w:r>
          </w:p>
          <w:p w14:paraId="5F0397DE" w14:textId="77777777" w:rsidR="00C12950" w:rsidRDefault="00C12950" w:rsidP="00C62170">
            <w:pPr>
              <w:tabs>
                <w:tab w:val="left" w:pos="426"/>
              </w:tabs>
              <w:ind w:right="212"/>
              <w:jc w:val="both"/>
              <w:rPr>
                <w:rFonts w:ascii="Helvetica" w:hAnsi="Helvetica"/>
                <w:sz w:val="16"/>
              </w:rPr>
            </w:pPr>
            <w:r>
              <w:rPr>
                <w:rFonts w:ascii="Helvetica" w:hAnsi="Helvetica"/>
                <w:sz w:val="16"/>
              </w:rPr>
              <w:t>fax +39 02 8259009</w:t>
            </w:r>
          </w:p>
          <w:p w14:paraId="27E6149D" w14:textId="77777777" w:rsidR="00C12950" w:rsidRDefault="00C12950" w:rsidP="00C62170">
            <w:pPr>
              <w:tabs>
                <w:tab w:val="left" w:pos="426"/>
              </w:tabs>
              <w:ind w:right="212"/>
              <w:jc w:val="both"/>
              <w:rPr>
                <w:rFonts w:ascii="Helvetica" w:hAnsi="Helvetica"/>
                <w:sz w:val="16"/>
              </w:rPr>
            </w:pPr>
            <w:r>
              <w:rPr>
                <w:rFonts w:ascii="Helvetica" w:hAnsi="Helvetica"/>
                <w:sz w:val="16"/>
              </w:rPr>
              <w:t>www.acimall.com</w:t>
            </w:r>
          </w:p>
          <w:p w14:paraId="40B19344" w14:textId="37F42DC8" w:rsidR="00C12950" w:rsidRDefault="00C12950" w:rsidP="00C62170">
            <w:pPr>
              <w:tabs>
                <w:tab w:val="left" w:pos="426"/>
              </w:tabs>
              <w:ind w:right="212"/>
              <w:jc w:val="both"/>
            </w:pPr>
            <w:r>
              <w:rPr>
                <w:rFonts w:ascii="Helvetica" w:hAnsi="Helvetica"/>
                <w:sz w:val="16"/>
              </w:rPr>
              <w:t>info@acimall.com</w:t>
            </w:r>
            <w:r w:rsidR="009761D9">
              <w:rPr>
                <w:rFonts w:ascii="Helvetica" w:hAnsi="Helvetica"/>
                <w:sz w:val="16"/>
              </w:rPr>
              <w:t xml:space="preserve"> </w:t>
            </w:r>
          </w:p>
        </w:tc>
        <w:tc>
          <w:tcPr>
            <w:tcW w:w="2493" w:type="dxa"/>
          </w:tcPr>
          <w:p w14:paraId="776B756F" w14:textId="2E62F280" w:rsidR="00C12950" w:rsidRPr="00376C83" w:rsidRDefault="003D3CCC" w:rsidP="00C62170">
            <w:pPr>
              <w:tabs>
                <w:tab w:val="left" w:pos="426"/>
              </w:tabs>
              <w:ind w:left="-142" w:right="212"/>
              <w:jc w:val="right"/>
              <w:rPr>
                <w:rFonts w:ascii="Helvetica" w:hAnsi="Helvetica"/>
                <w:b/>
                <w:color w:val="000000" w:themeColor="text1"/>
                <w:sz w:val="28"/>
              </w:rPr>
            </w:pPr>
            <w:r>
              <w:rPr>
                <w:rFonts w:ascii="Helvetica" w:hAnsi="Helvetica"/>
                <w:b/>
                <w:w w:val="108"/>
                <w:kern w:val="22"/>
                <w:sz w:val="28"/>
              </w:rPr>
              <w:t xml:space="preserve"> </w:t>
            </w:r>
            <w:r w:rsidR="002255FB">
              <w:rPr>
                <w:rFonts w:ascii="Helvetica" w:hAnsi="Helvetica"/>
                <w:b/>
                <w:color w:val="000000" w:themeColor="text1"/>
                <w:w w:val="108"/>
                <w:kern w:val="22"/>
                <w:sz w:val="28"/>
              </w:rPr>
              <w:t>press office</w:t>
            </w:r>
          </w:p>
          <w:p w14:paraId="70852C71" w14:textId="104DC1F6" w:rsidR="00C12950" w:rsidRPr="004C4277" w:rsidRDefault="00C87EBA" w:rsidP="00C62170">
            <w:pPr>
              <w:tabs>
                <w:tab w:val="left" w:pos="426"/>
              </w:tabs>
              <w:ind w:left="-142" w:right="212"/>
              <w:jc w:val="right"/>
              <w:rPr>
                <w:rFonts w:ascii="Gill Sans MT" w:hAnsi="Gill Sans MT"/>
                <w:b/>
                <w:color w:val="FF0000"/>
                <w:sz w:val="14"/>
              </w:rPr>
            </w:pPr>
            <w:r>
              <w:rPr>
                <w:rFonts w:ascii="Helvetica" w:hAnsi="Helvetica"/>
                <w:color w:val="000000" w:themeColor="text1"/>
                <w:sz w:val="14"/>
              </w:rPr>
              <w:t>1</w:t>
            </w:r>
            <w:r w:rsidR="00E34113">
              <w:rPr>
                <w:rFonts w:ascii="Helvetica" w:hAnsi="Helvetica"/>
                <w:color w:val="000000" w:themeColor="text1"/>
                <w:sz w:val="14"/>
              </w:rPr>
              <w:t>8</w:t>
            </w:r>
            <w:r>
              <w:rPr>
                <w:rFonts w:ascii="Helvetica" w:hAnsi="Helvetica"/>
                <w:color w:val="000000" w:themeColor="text1"/>
                <w:sz w:val="14"/>
              </w:rPr>
              <w:t xml:space="preserve"> </w:t>
            </w:r>
            <w:proofErr w:type="spellStart"/>
            <w:r w:rsidR="002255FB">
              <w:rPr>
                <w:rFonts w:ascii="Helvetica" w:hAnsi="Helvetica"/>
                <w:color w:val="000000" w:themeColor="text1"/>
                <w:sz w:val="14"/>
              </w:rPr>
              <w:t>February</w:t>
            </w:r>
            <w:proofErr w:type="spellEnd"/>
            <w:r>
              <w:rPr>
                <w:rFonts w:ascii="Helvetica" w:hAnsi="Helvetica"/>
                <w:color w:val="000000" w:themeColor="text1"/>
                <w:sz w:val="14"/>
              </w:rPr>
              <w:t xml:space="preserve"> 2025</w:t>
            </w:r>
          </w:p>
        </w:tc>
      </w:tr>
    </w:tbl>
    <w:p w14:paraId="611215AC" w14:textId="77777777" w:rsidR="00C12950" w:rsidRDefault="00C12950" w:rsidP="00C62170">
      <w:pPr>
        <w:tabs>
          <w:tab w:val="left" w:pos="426"/>
        </w:tabs>
        <w:jc w:val="both"/>
        <w:rPr>
          <w:rFonts w:ascii="Arial" w:hAnsi="Arial"/>
          <w:sz w:val="20"/>
        </w:rPr>
      </w:pPr>
    </w:p>
    <w:p w14:paraId="0DD66105" w14:textId="77777777" w:rsidR="00C12950" w:rsidRPr="00B33B48" w:rsidRDefault="00C12950" w:rsidP="00C62170">
      <w:pPr>
        <w:tabs>
          <w:tab w:val="left" w:pos="426"/>
        </w:tabs>
        <w:ind w:left="426"/>
        <w:jc w:val="both"/>
        <w:rPr>
          <w:rFonts w:ascii="Arial" w:hAnsi="Arial" w:cs="Arial"/>
          <w:sz w:val="20"/>
        </w:rPr>
      </w:pPr>
    </w:p>
    <w:p w14:paraId="4AF431D0" w14:textId="77777777" w:rsidR="001D79A8" w:rsidRDefault="001D79A8" w:rsidP="00C62170">
      <w:pPr>
        <w:tabs>
          <w:tab w:val="left" w:pos="426"/>
        </w:tabs>
        <w:jc w:val="both"/>
        <w:rPr>
          <w:rFonts w:ascii="Arial" w:hAnsi="Arial" w:cs="Arial"/>
          <w:b/>
          <w:sz w:val="20"/>
        </w:rPr>
      </w:pPr>
    </w:p>
    <w:p w14:paraId="44DF9640" w14:textId="77777777" w:rsidR="009D300B" w:rsidRDefault="009D300B" w:rsidP="00C62170">
      <w:pPr>
        <w:tabs>
          <w:tab w:val="left" w:pos="426"/>
        </w:tabs>
        <w:jc w:val="both"/>
        <w:rPr>
          <w:rFonts w:ascii="Arial" w:hAnsi="Arial" w:cs="Arial"/>
          <w:b/>
          <w:sz w:val="20"/>
        </w:rPr>
      </w:pPr>
    </w:p>
    <w:p w14:paraId="2C1204A0" w14:textId="4A48299E" w:rsidR="001670C8" w:rsidRDefault="001670C8" w:rsidP="00C62170">
      <w:pPr>
        <w:tabs>
          <w:tab w:val="left" w:pos="426"/>
        </w:tabs>
        <w:ind w:left="426"/>
        <w:jc w:val="both"/>
        <w:rPr>
          <w:rFonts w:ascii="Arial" w:hAnsi="Arial" w:cs="Arial"/>
          <w:b/>
          <w:sz w:val="20"/>
        </w:rPr>
      </w:pPr>
    </w:p>
    <w:p w14:paraId="0E624340" w14:textId="77777777" w:rsidR="00E34113" w:rsidRDefault="00E34113" w:rsidP="00C62170">
      <w:pPr>
        <w:tabs>
          <w:tab w:val="left" w:pos="426"/>
        </w:tabs>
        <w:ind w:left="426"/>
        <w:jc w:val="both"/>
        <w:rPr>
          <w:rFonts w:ascii="Arial" w:hAnsi="Arial" w:cs="Arial"/>
          <w:b/>
          <w:sz w:val="20"/>
        </w:rPr>
      </w:pPr>
    </w:p>
    <w:p w14:paraId="17CF2C3B" w14:textId="77777777" w:rsidR="00E34113" w:rsidRDefault="00E34113" w:rsidP="00C62170">
      <w:pPr>
        <w:tabs>
          <w:tab w:val="left" w:pos="426"/>
        </w:tabs>
        <w:ind w:left="426"/>
        <w:jc w:val="both"/>
        <w:rPr>
          <w:rFonts w:ascii="Arial" w:hAnsi="Arial" w:cs="Arial"/>
          <w:b/>
          <w:sz w:val="20"/>
        </w:rPr>
      </w:pPr>
    </w:p>
    <w:p w14:paraId="4D7174C7" w14:textId="77777777" w:rsidR="001670C8" w:rsidRPr="00C87EBA" w:rsidRDefault="001670C8" w:rsidP="00C62170">
      <w:pPr>
        <w:tabs>
          <w:tab w:val="left" w:pos="426"/>
        </w:tabs>
        <w:ind w:left="426"/>
        <w:jc w:val="both"/>
        <w:rPr>
          <w:rFonts w:ascii="Arial" w:hAnsi="Arial" w:cs="Arial"/>
          <w:b/>
          <w:color w:val="000000" w:themeColor="text1"/>
          <w:sz w:val="20"/>
        </w:rPr>
      </w:pPr>
    </w:p>
    <w:p w14:paraId="70690A85" w14:textId="0D7AD38E" w:rsidR="00F7011C" w:rsidRPr="00E34113" w:rsidRDefault="002255FB" w:rsidP="002255FB">
      <w:pPr>
        <w:tabs>
          <w:tab w:val="left" w:pos="142"/>
          <w:tab w:val="left" w:pos="426"/>
        </w:tabs>
        <w:ind w:left="426"/>
        <w:jc w:val="both"/>
        <w:rPr>
          <w:rFonts w:ascii="Arial" w:hAnsi="Arial" w:cs="Arial"/>
          <w:b/>
          <w:color w:val="000000" w:themeColor="text1"/>
          <w:sz w:val="20"/>
          <w:lang w:val="en-US"/>
        </w:rPr>
      </w:pPr>
      <w:r w:rsidRPr="005E2849">
        <w:rPr>
          <w:rFonts w:ascii="Arial" w:hAnsi="Arial" w:cs="Arial"/>
          <w:b/>
          <w:sz w:val="20"/>
          <w:lang w:val="en-US"/>
        </w:rPr>
        <w:t>WOODWORKING TECHNOLOGY:</w:t>
      </w:r>
      <w:r w:rsidR="008F4FEF" w:rsidRPr="00E34113">
        <w:rPr>
          <w:rFonts w:ascii="Arial" w:hAnsi="Arial" w:cs="Arial"/>
          <w:b/>
          <w:color w:val="000000" w:themeColor="text1"/>
          <w:sz w:val="20"/>
          <w:lang w:val="en-US"/>
        </w:rPr>
        <w:t xml:space="preserve"> </w:t>
      </w:r>
      <w:r w:rsidRPr="005E2849">
        <w:rPr>
          <w:rFonts w:ascii="Arial" w:hAnsi="Arial" w:cs="Arial"/>
          <w:b/>
          <w:sz w:val="20"/>
          <w:lang w:val="en-US"/>
        </w:rPr>
        <w:t>“MADE IN ITALY” STOPS AT 2.4 BILLION IN 2024</w:t>
      </w:r>
      <w:r w:rsidR="00E34113">
        <w:rPr>
          <w:rFonts w:ascii="Arial" w:hAnsi="Arial" w:cs="Arial"/>
          <w:b/>
          <w:sz w:val="20"/>
          <w:lang w:val="en-US"/>
        </w:rPr>
        <w:t xml:space="preserve"> </w:t>
      </w:r>
    </w:p>
    <w:p w14:paraId="222966B5" w14:textId="77777777" w:rsidR="008D5723" w:rsidRPr="00E34113" w:rsidRDefault="008D5723" w:rsidP="00A11689">
      <w:pPr>
        <w:tabs>
          <w:tab w:val="left" w:pos="426"/>
        </w:tabs>
        <w:rPr>
          <w:rFonts w:ascii="Arial" w:hAnsi="Arial" w:cs="Arial"/>
          <w:color w:val="000000" w:themeColor="text1"/>
          <w:sz w:val="20"/>
          <w:lang w:val="en-US"/>
        </w:rPr>
      </w:pPr>
    </w:p>
    <w:p w14:paraId="62F874B3" w14:textId="77777777" w:rsidR="008D5723" w:rsidRPr="00E34113" w:rsidRDefault="008D5723" w:rsidP="007C18D1">
      <w:pPr>
        <w:tabs>
          <w:tab w:val="left" w:pos="426"/>
        </w:tabs>
        <w:rPr>
          <w:rFonts w:ascii="Arial" w:hAnsi="Arial" w:cs="Arial"/>
          <w:color w:val="000000" w:themeColor="text1"/>
          <w:sz w:val="20"/>
          <w:lang w:val="en-US"/>
        </w:rPr>
      </w:pPr>
    </w:p>
    <w:p w14:paraId="122F2FB5" w14:textId="33B5AABE" w:rsidR="00C87EBA" w:rsidRPr="00E34113" w:rsidRDefault="002255FB" w:rsidP="0048749B">
      <w:pPr>
        <w:tabs>
          <w:tab w:val="left" w:pos="426"/>
        </w:tabs>
        <w:ind w:left="426"/>
        <w:rPr>
          <w:rFonts w:ascii="Arial" w:hAnsi="Arial" w:cs="Arial"/>
          <w:color w:val="000000" w:themeColor="text1"/>
          <w:sz w:val="20"/>
          <w:lang w:val="en-US"/>
        </w:rPr>
      </w:pPr>
      <w:r w:rsidRPr="005E2849">
        <w:rPr>
          <w:rFonts w:ascii="Arial" w:hAnsi="Arial" w:cs="Arial"/>
          <w:sz w:val="20"/>
          <w:lang w:val="en-US"/>
        </w:rPr>
        <w:t>Times remain “complicated” for the Italian industry of woodworking technology and furniture production.</w:t>
      </w:r>
      <w:r w:rsidR="005D60A5" w:rsidRPr="00E34113">
        <w:rPr>
          <w:rFonts w:ascii="Arial" w:hAnsi="Arial" w:cs="Arial"/>
          <w:color w:val="000000" w:themeColor="text1"/>
          <w:sz w:val="20"/>
          <w:lang w:val="en-US"/>
        </w:rPr>
        <w:t xml:space="preserve"> </w:t>
      </w:r>
      <w:r w:rsidRPr="005E2849">
        <w:rPr>
          <w:rFonts w:ascii="Arial" w:hAnsi="Arial" w:cs="Arial"/>
          <w:sz w:val="20"/>
          <w:lang w:val="en-US"/>
        </w:rPr>
        <w:t>The preliminary data for 2024</w:t>
      </w:r>
      <w:r w:rsidR="0048749B" w:rsidRPr="005E2849">
        <w:rPr>
          <w:rFonts w:ascii="Arial" w:hAnsi="Arial" w:cs="Arial"/>
          <w:sz w:val="20"/>
          <w:lang w:val="en-US"/>
        </w:rPr>
        <w:t xml:space="preserve"> show the impact of the “uncertainties” that have long affected the real effectiveness of “Industry 5.0” measures and the enduring consequences of the Russian invasion in Ukraine and the Israel-Palestine conflict (combined with the stagnation caused by the exceptional demand of previous years) on overall results.</w:t>
      </w:r>
    </w:p>
    <w:p w14:paraId="2F38CD80" w14:textId="77777777" w:rsidR="00C87EBA" w:rsidRPr="00E34113" w:rsidRDefault="00C87EBA" w:rsidP="00C62170">
      <w:pPr>
        <w:tabs>
          <w:tab w:val="left" w:pos="426"/>
        </w:tabs>
        <w:ind w:left="426"/>
        <w:rPr>
          <w:rFonts w:ascii="Arial" w:hAnsi="Arial" w:cs="Arial"/>
          <w:color w:val="000000" w:themeColor="text1"/>
          <w:sz w:val="20"/>
          <w:lang w:val="en-US"/>
        </w:rPr>
      </w:pPr>
    </w:p>
    <w:p w14:paraId="2D93D022" w14:textId="784BAE95" w:rsidR="00C87EBA" w:rsidRPr="00E34113" w:rsidRDefault="0048749B" w:rsidP="0048749B">
      <w:pPr>
        <w:tabs>
          <w:tab w:val="left" w:pos="426"/>
        </w:tabs>
        <w:ind w:left="426"/>
        <w:rPr>
          <w:rFonts w:ascii="Arial" w:hAnsi="Arial" w:cs="Arial"/>
          <w:color w:val="000000" w:themeColor="text1"/>
          <w:sz w:val="20"/>
          <w:lang w:val="en-US"/>
        </w:rPr>
      </w:pPr>
      <w:r w:rsidRPr="005E2849">
        <w:rPr>
          <w:rFonts w:ascii="Arial" w:hAnsi="Arial" w:cs="Arial"/>
          <w:sz w:val="20"/>
          <w:lang w:val="en-US"/>
        </w:rPr>
        <w:t xml:space="preserve">According to the preliminary balance drawn by the Studies office of Acimall, the Confindustria member association that represents industry companies, </w:t>
      </w:r>
      <w:r w:rsidRPr="005E2849">
        <w:rPr>
          <w:rFonts w:ascii="Arial" w:hAnsi="Arial" w:cs="Arial"/>
          <w:b/>
          <w:bCs/>
          <w:sz w:val="20"/>
          <w:lang w:val="en-US"/>
        </w:rPr>
        <w:t xml:space="preserve">production in 2024 </w:t>
      </w:r>
      <w:r w:rsidRPr="005E2849">
        <w:rPr>
          <w:rFonts w:ascii="Arial" w:hAnsi="Arial" w:cs="Arial"/>
          <w:sz w:val="20"/>
          <w:lang w:val="en-US"/>
        </w:rPr>
        <w:t>amounted to 2.43 billion euro</w:t>
      </w:r>
      <w:r w:rsidR="005E2849">
        <w:rPr>
          <w:rFonts w:ascii="Arial" w:hAnsi="Arial" w:cs="Arial"/>
          <w:sz w:val="20"/>
          <w:lang w:val="en-US"/>
        </w:rPr>
        <w:t>s</w:t>
      </w:r>
      <w:r w:rsidRPr="005E2849">
        <w:rPr>
          <w:rFonts w:ascii="Arial" w:hAnsi="Arial" w:cs="Arial"/>
          <w:sz w:val="20"/>
          <w:lang w:val="en-US"/>
        </w:rPr>
        <w:t>, 8.3 percent less than in 2023.</w:t>
      </w:r>
    </w:p>
    <w:p w14:paraId="19AFA682" w14:textId="171247D8" w:rsidR="00C87EBA" w:rsidRPr="00E34113" w:rsidRDefault="0048749B" w:rsidP="0048749B">
      <w:pPr>
        <w:tabs>
          <w:tab w:val="left" w:pos="426"/>
        </w:tabs>
        <w:ind w:left="426"/>
        <w:rPr>
          <w:rFonts w:ascii="Arial" w:hAnsi="Arial" w:cs="Arial"/>
          <w:color w:val="000000" w:themeColor="text1"/>
          <w:sz w:val="20"/>
          <w:lang w:val="en-US"/>
        </w:rPr>
      </w:pPr>
      <w:r w:rsidRPr="005E2849">
        <w:rPr>
          <w:rFonts w:ascii="Arial" w:hAnsi="Arial" w:cs="Arial"/>
          <w:sz w:val="20"/>
          <w:lang w:val="en-US"/>
        </w:rPr>
        <w:t xml:space="preserve">The reduction involved both </w:t>
      </w:r>
      <w:r w:rsidRPr="005E2849">
        <w:rPr>
          <w:rFonts w:ascii="Arial" w:hAnsi="Arial" w:cs="Arial"/>
          <w:b/>
          <w:bCs/>
          <w:sz w:val="20"/>
          <w:lang w:val="en-US"/>
        </w:rPr>
        <w:t>export</w:t>
      </w:r>
      <w:r w:rsidRPr="005E2849">
        <w:rPr>
          <w:rFonts w:ascii="Arial" w:hAnsi="Arial" w:cs="Arial"/>
          <w:sz w:val="20"/>
          <w:lang w:val="en-US"/>
        </w:rPr>
        <w:t xml:space="preserve"> (1.7 billion, down by 7.8 percent) and </w:t>
      </w:r>
      <w:r w:rsidRPr="005E2849">
        <w:rPr>
          <w:rFonts w:ascii="Arial" w:hAnsi="Arial" w:cs="Arial"/>
          <w:b/>
          <w:bCs/>
          <w:sz w:val="20"/>
          <w:lang w:val="en-US"/>
        </w:rPr>
        <w:t>domestic demand</w:t>
      </w:r>
      <w:r w:rsidRPr="005E2849">
        <w:rPr>
          <w:rFonts w:ascii="Arial" w:hAnsi="Arial" w:cs="Arial"/>
          <w:sz w:val="20"/>
          <w:lang w:val="en-US"/>
        </w:rPr>
        <w:t xml:space="preserve"> (730 million, minus 9.5 percent), combined with a sharp drop in </w:t>
      </w:r>
      <w:r w:rsidRPr="005E2849">
        <w:rPr>
          <w:rFonts w:ascii="Arial" w:hAnsi="Arial" w:cs="Arial"/>
          <w:b/>
          <w:bCs/>
          <w:sz w:val="20"/>
          <w:lang w:val="en-US"/>
        </w:rPr>
        <w:t>import</w:t>
      </w:r>
      <w:r w:rsidRPr="005E2849">
        <w:rPr>
          <w:rFonts w:ascii="Arial" w:hAnsi="Arial" w:cs="Arial"/>
          <w:sz w:val="20"/>
          <w:lang w:val="en-US"/>
        </w:rPr>
        <w:t xml:space="preserve"> (180 million, minus 40.2 percent) showing that the Italian offer can “dominate” the demand of technology.</w:t>
      </w:r>
    </w:p>
    <w:p w14:paraId="68A0F089" w14:textId="43FFB1DD" w:rsidR="00C87EBA" w:rsidRPr="00E34113" w:rsidRDefault="0048749B" w:rsidP="0048749B">
      <w:pPr>
        <w:tabs>
          <w:tab w:val="left" w:pos="426"/>
        </w:tabs>
        <w:ind w:left="426"/>
        <w:rPr>
          <w:rFonts w:ascii="Arial" w:hAnsi="Arial" w:cs="Arial"/>
          <w:color w:val="000000" w:themeColor="text1"/>
          <w:sz w:val="20"/>
          <w:lang w:val="en-US"/>
        </w:rPr>
      </w:pPr>
      <w:r w:rsidRPr="005E2849">
        <w:rPr>
          <w:rFonts w:ascii="Arial" w:hAnsi="Arial" w:cs="Arial"/>
          <w:sz w:val="20"/>
          <w:lang w:val="en-US"/>
        </w:rPr>
        <w:t xml:space="preserve">The latter figure actually “supported” the </w:t>
      </w:r>
      <w:r w:rsidRPr="005E2849">
        <w:rPr>
          <w:rFonts w:ascii="Arial" w:hAnsi="Arial" w:cs="Arial"/>
          <w:b/>
          <w:bCs/>
          <w:sz w:val="20"/>
          <w:lang w:val="en-US"/>
        </w:rPr>
        <w:t>trade balance</w:t>
      </w:r>
      <w:r w:rsidRPr="005E2849">
        <w:rPr>
          <w:rFonts w:ascii="Arial" w:hAnsi="Arial" w:cs="Arial"/>
          <w:sz w:val="20"/>
          <w:lang w:val="en-US"/>
        </w:rPr>
        <w:t xml:space="preserve"> (1.52 billion euro, down by 1.5 percent compared to the final balance of 2023), while </w:t>
      </w:r>
      <w:r w:rsidRPr="005E2849">
        <w:rPr>
          <w:rFonts w:ascii="Arial" w:hAnsi="Arial" w:cs="Arial"/>
          <w:b/>
          <w:bCs/>
          <w:sz w:val="20"/>
          <w:lang w:val="en-US"/>
        </w:rPr>
        <w:t>apparent consumption</w:t>
      </w:r>
      <w:r w:rsidRPr="005E2849">
        <w:rPr>
          <w:rFonts w:ascii="Arial" w:hAnsi="Arial" w:cs="Arial"/>
          <w:sz w:val="20"/>
          <w:lang w:val="en-US"/>
        </w:rPr>
        <w:t xml:space="preserve"> stopped at 910 million, 17.9 percent less than the previous year; these figures put Italy in the top positions of the European and global rankings of wood technology demand.</w:t>
      </w:r>
    </w:p>
    <w:p w14:paraId="05CA9C5B" w14:textId="77777777" w:rsidR="00C87EBA" w:rsidRPr="00E34113" w:rsidRDefault="00C87EBA" w:rsidP="00C62170">
      <w:pPr>
        <w:tabs>
          <w:tab w:val="left" w:pos="426"/>
        </w:tabs>
        <w:ind w:left="426"/>
        <w:rPr>
          <w:rFonts w:ascii="Arial" w:hAnsi="Arial" w:cs="Arial"/>
          <w:color w:val="000000" w:themeColor="text1"/>
          <w:sz w:val="20"/>
          <w:lang w:val="en-US"/>
        </w:rPr>
      </w:pPr>
    </w:p>
    <w:p w14:paraId="2A1086BC" w14:textId="1C9EA986" w:rsidR="00C87EBA" w:rsidRPr="00E34113" w:rsidRDefault="0048749B" w:rsidP="00657A86">
      <w:pPr>
        <w:tabs>
          <w:tab w:val="left" w:pos="426"/>
        </w:tabs>
        <w:ind w:left="426"/>
        <w:rPr>
          <w:rFonts w:ascii="Arial" w:hAnsi="Arial" w:cs="Arial"/>
          <w:i/>
          <w:sz w:val="20"/>
          <w:lang w:val="en-US"/>
        </w:rPr>
      </w:pPr>
      <w:r w:rsidRPr="005E2849">
        <w:rPr>
          <w:rFonts w:ascii="Arial" w:hAnsi="Arial" w:cs="Arial"/>
          <w:sz w:val="20"/>
          <w:lang w:val="en-US"/>
        </w:rPr>
        <w:t>"</w:t>
      </w:r>
      <w:r w:rsidRPr="005E2849">
        <w:rPr>
          <w:rFonts w:ascii="Arial" w:hAnsi="Arial" w:cs="Arial"/>
          <w:i/>
          <w:sz w:val="20"/>
          <w:lang w:val="en-US"/>
        </w:rPr>
        <w:t>The situation is certainly not positive</w:t>
      </w:r>
      <w:r w:rsidRPr="005E2849">
        <w:rPr>
          <w:rFonts w:ascii="Arial" w:hAnsi="Arial" w:cs="Arial"/>
          <w:sz w:val="20"/>
          <w:lang w:val="en-US"/>
        </w:rPr>
        <w:t xml:space="preserve"> – said the Acimall director </w:t>
      </w:r>
      <w:r w:rsidRPr="005E2849">
        <w:rPr>
          <w:rFonts w:ascii="Arial" w:hAnsi="Arial" w:cs="Arial"/>
          <w:b/>
          <w:sz w:val="20"/>
          <w:lang w:val="en-US"/>
        </w:rPr>
        <w:t>Dario Corbetta</w:t>
      </w:r>
      <w:r w:rsidRPr="005E2849">
        <w:rPr>
          <w:rFonts w:ascii="Arial" w:hAnsi="Arial" w:cs="Arial"/>
          <w:sz w:val="20"/>
          <w:lang w:val="en-US"/>
        </w:rPr>
        <w:t xml:space="preserve"> – </w:t>
      </w:r>
      <w:r w:rsidRPr="005E2849">
        <w:rPr>
          <w:rFonts w:ascii="Arial" w:hAnsi="Arial" w:cs="Arial"/>
          <w:i/>
          <w:iCs/>
          <w:sz w:val="20"/>
          <w:lang w:val="en-US"/>
        </w:rPr>
        <w:t>and the industry is suffering from a temporary suspension of reality due to the Covid outburst first, and then the incentives that have delayed the structural problems of our industry for two years.</w:t>
      </w:r>
      <w:r w:rsidR="00C87EBA" w:rsidRPr="00E34113">
        <w:rPr>
          <w:rFonts w:ascii="Arial" w:hAnsi="Arial" w:cs="Arial"/>
          <w:i/>
          <w:iCs/>
          <w:sz w:val="20"/>
          <w:lang w:val="en-US"/>
        </w:rPr>
        <w:t xml:space="preserve"> </w:t>
      </w:r>
      <w:r w:rsidRPr="005E2849">
        <w:rPr>
          <w:rFonts w:ascii="Arial" w:hAnsi="Arial" w:cs="Arial"/>
          <w:i/>
          <w:iCs/>
          <w:sz w:val="20"/>
          <w:lang w:val="en-US"/>
        </w:rPr>
        <w:t xml:space="preserve">The </w:t>
      </w:r>
      <w:r w:rsidR="00657A86" w:rsidRPr="005E2849">
        <w:rPr>
          <w:rFonts w:ascii="Arial" w:hAnsi="Arial" w:cs="Arial"/>
          <w:i/>
          <w:iCs/>
          <w:sz w:val="20"/>
          <w:lang w:val="en-US"/>
        </w:rPr>
        <w:t>causes of this scenario are well known: labor shortage, slow generational change and all the challenges that the mechanical manufacturing industry is facing, without forgetting the geopolitical tension that have inevitably hindered export to a few markets”.</w:t>
      </w:r>
    </w:p>
    <w:p w14:paraId="7C36FA1B" w14:textId="77777777" w:rsidR="00C87EBA" w:rsidRPr="00E34113" w:rsidRDefault="00C87EBA" w:rsidP="00C62170">
      <w:pPr>
        <w:tabs>
          <w:tab w:val="left" w:pos="426"/>
        </w:tabs>
        <w:rPr>
          <w:rFonts w:ascii="Arial" w:hAnsi="Arial" w:cs="Arial"/>
          <w:color w:val="000000" w:themeColor="text1"/>
          <w:sz w:val="20"/>
          <w:lang w:val="en-US"/>
        </w:rPr>
      </w:pPr>
    </w:p>
    <w:p w14:paraId="3EF82FC0" w14:textId="072E1BC2" w:rsidR="00067F91" w:rsidRPr="00E34113" w:rsidRDefault="00657A86" w:rsidP="00657A86">
      <w:pPr>
        <w:tabs>
          <w:tab w:val="left" w:pos="426"/>
        </w:tabs>
        <w:ind w:left="426"/>
        <w:rPr>
          <w:rFonts w:ascii="Arial" w:hAnsi="Arial" w:cs="Arial"/>
          <w:sz w:val="20"/>
          <w:lang w:val="en-US"/>
        </w:rPr>
      </w:pPr>
      <w:r w:rsidRPr="005E2849">
        <w:rPr>
          <w:rFonts w:ascii="Arial" w:hAnsi="Arial" w:cs="Arial"/>
          <w:sz w:val="20"/>
          <w:lang w:val="en-US"/>
        </w:rPr>
        <w:t>EXPORT</w:t>
      </w:r>
    </w:p>
    <w:p w14:paraId="79FDAC9F" w14:textId="7DAFF277" w:rsidR="00C87EBA" w:rsidRPr="00E34113" w:rsidRDefault="00657A86" w:rsidP="00657A86">
      <w:pPr>
        <w:tabs>
          <w:tab w:val="left" w:pos="426"/>
        </w:tabs>
        <w:ind w:left="426"/>
        <w:rPr>
          <w:rFonts w:ascii="Arial" w:hAnsi="Arial" w:cs="Arial"/>
          <w:sz w:val="20"/>
          <w:lang w:val="en-US"/>
        </w:rPr>
      </w:pPr>
      <w:r w:rsidRPr="005E2849">
        <w:rPr>
          <w:rFonts w:ascii="Arial" w:hAnsi="Arial" w:cs="Arial"/>
          <w:sz w:val="20"/>
          <w:lang w:val="en-US"/>
        </w:rPr>
        <w:t xml:space="preserve">Talking about export, in the first nine months of 2024, the </w:t>
      </w:r>
      <w:r w:rsidRPr="005E2849">
        <w:rPr>
          <w:rFonts w:ascii="Arial" w:hAnsi="Arial" w:cs="Arial"/>
          <w:b/>
          <w:bCs/>
          <w:sz w:val="20"/>
          <w:lang w:val="en-US"/>
        </w:rPr>
        <w:t>United States</w:t>
      </w:r>
      <w:r w:rsidRPr="005E2849">
        <w:rPr>
          <w:rFonts w:ascii="Arial" w:hAnsi="Arial" w:cs="Arial"/>
          <w:sz w:val="20"/>
          <w:lang w:val="en-US"/>
        </w:rPr>
        <w:t xml:space="preserve"> (129 million, minus 3.6 percent versus the same period of 2023), </w:t>
      </w:r>
      <w:r w:rsidRPr="005E2849">
        <w:rPr>
          <w:rFonts w:ascii="Arial" w:hAnsi="Arial" w:cs="Arial"/>
          <w:b/>
          <w:bCs/>
          <w:sz w:val="20"/>
          <w:lang w:val="en-US"/>
        </w:rPr>
        <w:t>France</w:t>
      </w:r>
      <w:r w:rsidRPr="005E2849">
        <w:rPr>
          <w:rFonts w:ascii="Arial" w:hAnsi="Arial" w:cs="Arial"/>
          <w:sz w:val="20"/>
          <w:lang w:val="en-US"/>
        </w:rPr>
        <w:t xml:space="preserve"> (122 million, plus 22 percent) and </w:t>
      </w:r>
      <w:r w:rsidRPr="005E2849">
        <w:rPr>
          <w:rFonts w:ascii="Arial" w:hAnsi="Arial" w:cs="Arial"/>
          <w:b/>
          <w:bCs/>
          <w:sz w:val="20"/>
          <w:lang w:val="en-US"/>
        </w:rPr>
        <w:t>Germany</w:t>
      </w:r>
      <w:r w:rsidRPr="005E2849">
        <w:rPr>
          <w:rFonts w:ascii="Arial" w:hAnsi="Arial" w:cs="Arial"/>
          <w:sz w:val="20"/>
          <w:lang w:val="en-US"/>
        </w:rPr>
        <w:t xml:space="preserve"> (92 million, minus 1.3 percent) took the top positions in the ranking of Italy’s customers, followed by </w:t>
      </w:r>
      <w:r w:rsidRPr="005E2849">
        <w:rPr>
          <w:rFonts w:ascii="Arial" w:hAnsi="Arial" w:cs="Arial"/>
          <w:b/>
          <w:bCs/>
          <w:sz w:val="20"/>
          <w:lang w:val="en-US"/>
        </w:rPr>
        <w:t>Poland</w:t>
      </w:r>
      <w:r w:rsidRPr="005E2849">
        <w:rPr>
          <w:rFonts w:ascii="Arial" w:hAnsi="Arial" w:cs="Arial"/>
          <w:sz w:val="20"/>
          <w:lang w:val="en-US"/>
        </w:rPr>
        <w:t xml:space="preserve"> (74 million, minus 5.4 percent), </w:t>
      </w:r>
      <w:r w:rsidRPr="005E2849">
        <w:rPr>
          <w:rFonts w:ascii="Arial" w:hAnsi="Arial" w:cs="Arial"/>
          <w:b/>
          <w:bCs/>
          <w:sz w:val="20"/>
          <w:lang w:val="en-US"/>
        </w:rPr>
        <w:t>Spain</w:t>
      </w:r>
      <w:r w:rsidRPr="005E2849">
        <w:rPr>
          <w:rFonts w:ascii="Arial" w:hAnsi="Arial" w:cs="Arial"/>
          <w:sz w:val="20"/>
          <w:lang w:val="en-US"/>
        </w:rPr>
        <w:t xml:space="preserve"> (56 million, plus 7 percent), </w:t>
      </w:r>
      <w:r w:rsidRPr="005E2849">
        <w:rPr>
          <w:rFonts w:ascii="Arial" w:hAnsi="Arial" w:cs="Arial"/>
          <w:b/>
          <w:bCs/>
          <w:sz w:val="20"/>
          <w:lang w:val="en-US"/>
        </w:rPr>
        <w:t>United Kingdom</w:t>
      </w:r>
      <w:r w:rsidRPr="005E2849">
        <w:rPr>
          <w:rFonts w:ascii="Arial" w:hAnsi="Arial" w:cs="Arial"/>
          <w:sz w:val="20"/>
          <w:lang w:val="en-US"/>
        </w:rPr>
        <w:t xml:space="preserve"> (46 million, minus 28.7 percent), </w:t>
      </w:r>
      <w:r w:rsidRPr="005E2849">
        <w:rPr>
          <w:rFonts w:ascii="Arial" w:hAnsi="Arial" w:cs="Arial"/>
          <w:b/>
          <w:bCs/>
          <w:sz w:val="20"/>
          <w:lang w:val="en-US"/>
        </w:rPr>
        <w:t>China</w:t>
      </w:r>
      <w:r w:rsidRPr="005E2849">
        <w:rPr>
          <w:rFonts w:ascii="Arial" w:hAnsi="Arial" w:cs="Arial"/>
          <w:sz w:val="20"/>
          <w:lang w:val="en-US"/>
        </w:rPr>
        <w:t xml:space="preserve"> (45 million, plus 16.8 percent), </w:t>
      </w:r>
      <w:r w:rsidRPr="005E2849">
        <w:rPr>
          <w:rFonts w:ascii="Arial" w:hAnsi="Arial" w:cs="Arial"/>
          <w:b/>
          <w:bCs/>
          <w:sz w:val="20"/>
          <w:lang w:val="en-US"/>
        </w:rPr>
        <w:t>Sweden</w:t>
      </w:r>
      <w:r w:rsidRPr="005E2849">
        <w:rPr>
          <w:rFonts w:ascii="Arial" w:hAnsi="Arial" w:cs="Arial"/>
          <w:sz w:val="20"/>
          <w:lang w:val="en-US"/>
        </w:rPr>
        <w:t xml:space="preserve"> (38 million, minus 11.5 percent), </w:t>
      </w:r>
      <w:r w:rsidRPr="005E2849">
        <w:rPr>
          <w:rFonts w:ascii="Arial" w:hAnsi="Arial" w:cs="Arial"/>
          <w:b/>
          <w:bCs/>
          <w:sz w:val="20"/>
          <w:lang w:val="en-US"/>
        </w:rPr>
        <w:t>Turkey</w:t>
      </w:r>
      <w:r w:rsidRPr="005E2849">
        <w:rPr>
          <w:rFonts w:ascii="Arial" w:hAnsi="Arial" w:cs="Arial"/>
          <w:sz w:val="20"/>
          <w:lang w:val="en-US"/>
        </w:rPr>
        <w:t xml:space="preserve"> (35 million, plus 21.4 percent) and </w:t>
      </w:r>
      <w:r w:rsidRPr="005E2849">
        <w:rPr>
          <w:rFonts w:ascii="Arial" w:hAnsi="Arial" w:cs="Arial"/>
          <w:b/>
          <w:bCs/>
          <w:sz w:val="20"/>
          <w:lang w:val="en-US"/>
        </w:rPr>
        <w:t>Belgium</w:t>
      </w:r>
      <w:r w:rsidRPr="005E2849">
        <w:rPr>
          <w:rFonts w:ascii="Arial" w:hAnsi="Arial" w:cs="Arial"/>
          <w:sz w:val="20"/>
          <w:lang w:val="en-US"/>
        </w:rPr>
        <w:t xml:space="preserve"> (32 million, minus 13.4 percent).</w:t>
      </w:r>
    </w:p>
    <w:p w14:paraId="58728562" w14:textId="3969E395" w:rsidR="00BA6AA2" w:rsidRPr="00E34113" w:rsidRDefault="00657A86" w:rsidP="00657A86">
      <w:pPr>
        <w:tabs>
          <w:tab w:val="left" w:pos="426"/>
        </w:tabs>
        <w:ind w:left="426"/>
        <w:rPr>
          <w:rFonts w:ascii="Arial" w:hAnsi="Arial" w:cs="Arial"/>
          <w:sz w:val="20"/>
          <w:lang w:val="en-US"/>
        </w:rPr>
      </w:pPr>
      <w:r w:rsidRPr="005E2849">
        <w:rPr>
          <w:rFonts w:ascii="Arial" w:hAnsi="Arial" w:cs="Arial"/>
          <w:sz w:val="20"/>
          <w:lang w:val="en-US"/>
        </w:rPr>
        <w:t>The trend of export to China and Turkey is very interesting, with both countries recording a strong growth of woodworking machinery production in the past few decades, making them competitors to be watched carefully:</w:t>
      </w:r>
      <w:r w:rsidR="00BA6AA2" w:rsidRPr="00E34113">
        <w:rPr>
          <w:rFonts w:ascii="Arial" w:hAnsi="Arial" w:cs="Arial"/>
          <w:sz w:val="20"/>
          <w:lang w:val="en-US"/>
        </w:rPr>
        <w:t xml:space="preserve"> </w:t>
      </w:r>
      <w:r w:rsidRPr="005E2849">
        <w:rPr>
          <w:rFonts w:ascii="Arial" w:hAnsi="Arial" w:cs="Arial"/>
          <w:i/>
          <w:iCs/>
          <w:sz w:val="20"/>
          <w:lang w:val="en-US"/>
        </w:rPr>
        <w:t>“The fact that Italian manufacturers can consolidate their role in these markets not only witnesses to the quality of Italian technology, but also shows that advanced technology makes the difference, although for Turkey we should consider possible triangulations towards other destinations”,</w:t>
      </w:r>
      <w:r w:rsidRPr="005E2849">
        <w:rPr>
          <w:rFonts w:ascii="Arial" w:hAnsi="Arial" w:cs="Arial"/>
          <w:sz w:val="20"/>
          <w:lang w:val="en-US"/>
        </w:rPr>
        <w:t xml:space="preserve"> added director Corbetta.</w:t>
      </w:r>
    </w:p>
    <w:p w14:paraId="69442C95" w14:textId="77777777" w:rsidR="00C62170" w:rsidRPr="00E34113" w:rsidRDefault="00C62170" w:rsidP="00C62170">
      <w:pPr>
        <w:tabs>
          <w:tab w:val="left" w:pos="426"/>
        </w:tabs>
        <w:ind w:left="426"/>
        <w:rPr>
          <w:rFonts w:ascii="Arial" w:hAnsi="Arial" w:cs="Arial"/>
          <w:sz w:val="20"/>
          <w:lang w:val="en-US"/>
        </w:rPr>
      </w:pPr>
    </w:p>
    <w:p w14:paraId="711EC7C2" w14:textId="35B37AE0" w:rsidR="00067F91" w:rsidRPr="00E34113" w:rsidRDefault="00657A86" w:rsidP="00741D9D">
      <w:pPr>
        <w:tabs>
          <w:tab w:val="left" w:pos="426"/>
        </w:tabs>
        <w:ind w:left="426"/>
        <w:rPr>
          <w:rFonts w:ascii="Arial" w:hAnsi="Arial" w:cs="Arial"/>
          <w:sz w:val="20"/>
          <w:lang w:val="en-US"/>
        </w:rPr>
      </w:pPr>
      <w:r w:rsidRPr="005E2849">
        <w:rPr>
          <w:rFonts w:ascii="Arial" w:hAnsi="Arial" w:cs="Arial"/>
          <w:sz w:val="20"/>
          <w:lang w:val="en-US"/>
        </w:rPr>
        <w:t xml:space="preserve">Looking at the </w:t>
      </w:r>
      <w:r w:rsidRPr="005E2849">
        <w:rPr>
          <w:rFonts w:ascii="Arial" w:hAnsi="Arial" w:cs="Arial"/>
          <w:b/>
          <w:bCs/>
          <w:sz w:val="20"/>
          <w:lang w:val="en-US"/>
        </w:rPr>
        <w:t>competitiveness on global markets</w:t>
      </w:r>
      <w:r w:rsidRPr="005E2849">
        <w:rPr>
          <w:rFonts w:ascii="Arial" w:hAnsi="Arial" w:cs="Arial"/>
          <w:sz w:val="20"/>
          <w:lang w:val="en-US"/>
        </w:rPr>
        <w:t xml:space="preserve">, Italy keeps playing a leading role: </w:t>
      </w:r>
      <w:r w:rsidR="00741D9D" w:rsidRPr="005E2849">
        <w:rPr>
          <w:rFonts w:ascii="Arial" w:hAnsi="Arial" w:cs="Arial"/>
          <w:sz w:val="20"/>
          <w:lang w:val="en-US"/>
        </w:rPr>
        <w:t xml:space="preserve">in </w:t>
      </w:r>
      <w:r w:rsidRPr="005E2849">
        <w:rPr>
          <w:rFonts w:ascii="Arial" w:hAnsi="Arial" w:cs="Arial"/>
          <w:sz w:val="20"/>
          <w:lang w:val="en-US"/>
        </w:rPr>
        <w:t xml:space="preserve">the ranking of the wood and furniture technology exporting countries in the January-September 2024 period, </w:t>
      </w:r>
      <w:r w:rsidRPr="005E2849">
        <w:rPr>
          <w:rFonts w:ascii="Arial" w:hAnsi="Arial" w:cs="Arial"/>
          <w:b/>
          <w:bCs/>
          <w:sz w:val="20"/>
          <w:lang w:val="en-US"/>
        </w:rPr>
        <w:t>C</w:t>
      </w:r>
      <w:r w:rsidR="00741D9D" w:rsidRPr="005E2849">
        <w:rPr>
          <w:rFonts w:ascii="Arial" w:hAnsi="Arial" w:cs="Arial"/>
          <w:b/>
          <w:bCs/>
          <w:sz w:val="20"/>
          <w:lang w:val="en-US"/>
        </w:rPr>
        <w:t>h</w:t>
      </w:r>
      <w:r w:rsidRPr="005E2849">
        <w:rPr>
          <w:rFonts w:ascii="Arial" w:hAnsi="Arial" w:cs="Arial"/>
          <w:b/>
          <w:bCs/>
          <w:sz w:val="20"/>
          <w:lang w:val="en-US"/>
        </w:rPr>
        <w:t>ina</w:t>
      </w:r>
      <w:r w:rsidRPr="005E2849">
        <w:rPr>
          <w:rFonts w:ascii="Arial" w:hAnsi="Arial" w:cs="Arial"/>
          <w:sz w:val="20"/>
          <w:lang w:val="en-US"/>
        </w:rPr>
        <w:t xml:space="preserve"> </w:t>
      </w:r>
      <w:r w:rsidR="00741D9D" w:rsidRPr="005E2849">
        <w:rPr>
          <w:rFonts w:ascii="Arial" w:hAnsi="Arial" w:cs="Arial"/>
          <w:sz w:val="20"/>
          <w:lang w:val="en-US"/>
        </w:rPr>
        <w:t xml:space="preserve">remains at the top with </w:t>
      </w:r>
      <w:proofErr w:type="gramStart"/>
      <w:r w:rsidRPr="005E2849">
        <w:rPr>
          <w:rFonts w:ascii="Arial" w:hAnsi="Arial" w:cs="Arial"/>
          <w:sz w:val="20"/>
          <w:lang w:val="en-US"/>
        </w:rPr>
        <w:t>1</w:t>
      </w:r>
      <w:r w:rsidR="00741D9D" w:rsidRPr="005E2849">
        <w:rPr>
          <w:rFonts w:ascii="Arial" w:hAnsi="Arial" w:cs="Arial"/>
          <w:sz w:val="20"/>
          <w:lang w:val="en-US"/>
        </w:rPr>
        <w:t>.</w:t>
      </w:r>
      <w:r w:rsidRPr="005E2849">
        <w:rPr>
          <w:rFonts w:ascii="Arial" w:hAnsi="Arial" w:cs="Arial"/>
          <w:sz w:val="20"/>
          <w:lang w:val="en-US"/>
        </w:rPr>
        <w:t>827</w:t>
      </w:r>
      <w:r w:rsidR="00E34113">
        <w:rPr>
          <w:rFonts w:ascii="Arial" w:hAnsi="Arial" w:cs="Arial"/>
          <w:sz w:val="20"/>
          <w:lang w:val="en-US"/>
        </w:rPr>
        <w:t xml:space="preserve"> </w:t>
      </w:r>
      <w:r w:rsidR="00741D9D" w:rsidRPr="005E2849">
        <w:rPr>
          <w:rFonts w:ascii="Arial" w:hAnsi="Arial" w:cs="Arial"/>
          <w:sz w:val="20"/>
          <w:lang w:val="en-US"/>
        </w:rPr>
        <w:t>billion</w:t>
      </w:r>
      <w:r w:rsidR="00E34113">
        <w:rPr>
          <w:rFonts w:ascii="Arial" w:hAnsi="Arial" w:cs="Arial"/>
          <w:sz w:val="20"/>
          <w:lang w:val="en-US"/>
        </w:rPr>
        <w:t xml:space="preserve"> </w:t>
      </w:r>
      <w:r w:rsidR="00741D9D" w:rsidRPr="005E2849">
        <w:rPr>
          <w:rFonts w:ascii="Arial" w:hAnsi="Arial" w:cs="Arial"/>
          <w:sz w:val="20"/>
          <w:lang w:val="en-US"/>
        </w:rPr>
        <w:t>euro</w:t>
      </w:r>
      <w:proofErr w:type="gramEnd"/>
      <w:r w:rsidR="00741D9D" w:rsidRPr="005E2849">
        <w:rPr>
          <w:rFonts w:ascii="Arial" w:hAnsi="Arial" w:cs="Arial"/>
          <w:sz w:val="20"/>
          <w:lang w:val="en-US"/>
        </w:rPr>
        <w:t xml:space="preserve"> export</w:t>
      </w:r>
      <w:r w:rsidRPr="005E2849">
        <w:rPr>
          <w:rFonts w:ascii="Arial" w:hAnsi="Arial" w:cs="Arial"/>
          <w:sz w:val="20"/>
          <w:lang w:val="en-US"/>
        </w:rPr>
        <w:t>, 7</w:t>
      </w:r>
      <w:r w:rsidR="00741D9D" w:rsidRPr="005E2849">
        <w:rPr>
          <w:rFonts w:ascii="Arial" w:hAnsi="Arial" w:cs="Arial"/>
          <w:sz w:val="20"/>
          <w:lang w:val="en-US"/>
        </w:rPr>
        <w:t>.</w:t>
      </w:r>
      <w:r w:rsidRPr="005E2849">
        <w:rPr>
          <w:rFonts w:ascii="Arial" w:hAnsi="Arial" w:cs="Arial"/>
          <w:sz w:val="20"/>
          <w:lang w:val="en-US"/>
        </w:rPr>
        <w:t>2 percent</w:t>
      </w:r>
      <w:r w:rsidR="00741D9D" w:rsidRPr="005E2849">
        <w:rPr>
          <w:rFonts w:ascii="Arial" w:hAnsi="Arial" w:cs="Arial"/>
          <w:sz w:val="20"/>
          <w:lang w:val="en-US"/>
        </w:rPr>
        <w:t xml:space="preserve"> more than in the same period of </w:t>
      </w:r>
      <w:r w:rsidRPr="005E2849">
        <w:rPr>
          <w:rFonts w:ascii="Arial" w:hAnsi="Arial" w:cs="Arial"/>
          <w:sz w:val="20"/>
          <w:lang w:val="en-US"/>
        </w:rPr>
        <w:t xml:space="preserve">2023. </w:t>
      </w:r>
      <w:r w:rsidR="00741D9D" w:rsidRPr="005E2849">
        <w:rPr>
          <w:rFonts w:ascii="Arial" w:hAnsi="Arial" w:cs="Arial"/>
          <w:sz w:val="20"/>
          <w:lang w:val="en-US"/>
        </w:rPr>
        <w:t>The second place is held by</w:t>
      </w:r>
      <w:r w:rsidRPr="005E2849">
        <w:rPr>
          <w:rFonts w:ascii="Arial" w:hAnsi="Arial" w:cs="Arial"/>
          <w:sz w:val="20"/>
          <w:lang w:val="en-US"/>
        </w:rPr>
        <w:t xml:space="preserve"> </w:t>
      </w:r>
      <w:r w:rsidRPr="005E2849">
        <w:rPr>
          <w:rFonts w:ascii="Arial" w:hAnsi="Arial" w:cs="Arial"/>
          <w:b/>
          <w:bCs/>
          <w:sz w:val="20"/>
          <w:lang w:val="en-US"/>
        </w:rPr>
        <w:t>German</w:t>
      </w:r>
      <w:r w:rsidR="00741D9D" w:rsidRPr="005E2849">
        <w:rPr>
          <w:rFonts w:ascii="Arial" w:hAnsi="Arial" w:cs="Arial"/>
          <w:b/>
          <w:bCs/>
          <w:sz w:val="20"/>
          <w:lang w:val="en-US"/>
        </w:rPr>
        <w:t>y</w:t>
      </w:r>
      <w:r w:rsidRPr="005E2849">
        <w:rPr>
          <w:rFonts w:ascii="Arial" w:hAnsi="Arial" w:cs="Arial"/>
          <w:sz w:val="20"/>
          <w:lang w:val="en-US"/>
        </w:rPr>
        <w:t xml:space="preserve"> (1.807 </w:t>
      </w:r>
      <w:r w:rsidR="00741D9D" w:rsidRPr="005E2849">
        <w:rPr>
          <w:rFonts w:ascii="Arial" w:hAnsi="Arial" w:cs="Arial"/>
          <w:sz w:val="20"/>
          <w:lang w:val="en-US"/>
        </w:rPr>
        <w:t>billion</w:t>
      </w:r>
      <w:r w:rsidRPr="005E2849">
        <w:rPr>
          <w:rFonts w:ascii="Arial" w:hAnsi="Arial" w:cs="Arial"/>
          <w:sz w:val="20"/>
          <w:lang w:val="en-US"/>
        </w:rPr>
        <w:t xml:space="preserve">, </w:t>
      </w:r>
      <w:r w:rsidR="00741D9D" w:rsidRPr="005E2849">
        <w:rPr>
          <w:rFonts w:ascii="Arial" w:hAnsi="Arial" w:cs="Arial"/>
          <w:sz w:val="20"/>
          <w:lang w:val="en-US"/>
        </w:rPr>
        <w:t>minus</w:t>
      </w:r>
      <w:r w:rsidRPr="005E2849">
        <w:rPr>
          <w:rFonts w:ascii="Arial" w:hAnsi="Arial" w:cs="Arial"/>
          <w:sz w:val="20"/>
          <w:lang w:val="en-US"/>
        </w:rPr>
        <w:t xml:space="preserve"> 12</w:t>
      </w:r>
      <w:r w:rsidR="00741D9D" w:rsidRPr="005E2849">
        <w:rPr>
          <w:rFonts w:ascii="Arial" w:hAnsi="Arial" w:cs="Arial"/>
          <w:sz w:val="20"/>
          <w:lang w:val="en-US"/>
        </w:rPr>
        <w:t>.</w:t>
      </w:r>
      <w:r w:rsidRPr="005E2849">
        <w:rPr>
          <w:rFonts w:ascii="Arial" w:hAnsi="Arial" w:cs="Arial"/>
          <w:sz w:val="20"/>
          <w:lang w:val="en-US"/>
        </w:rPr>
        <w:t xml:space="preserve">4 </w:t>
      </w:r>
      <w:r w:rsidR="00741D9D" w:rsidRPr="005E2849">
        <w:rPr>
          <w:rFonts w:ascii="Arial" w:hAnsi="Arial" w:cs="Arial"/>
          <w:sz w:val="20"/>
          <w:lang w:val="en-US"/>
        </w:rPr>
        <w:t>percent</w:t>
      </w:r>
      <w:r w:rsidRPr="005E2849">
        <w:rPr>
          <w:rFonts w:ascii="Arial" w:hAnsi="Arial" w:cs="Arial"/>
          <w:sz w:val="20"/>
          <w:lang w:val="en-US"/>
        </w:rPr>
        <w:t xml:space="preserve">) </w:t>
      </w:r>
      <w:r w:rsidR="00741D9D" w:rsidRPr="005E2849">
        <w:rPr>
          <w:rFonts w:ascii="Arial" w:hAnsi="Arial" w:cs="Arial"/>
          <w:sz w:val="20"/>
          <w:lang w:val="en-US"/>
        </w:rPr>
        <w:t xml:space="preserve">and the third by </w:t>
      </w:r>
      <w:r w:rsidRPr="005E2849">
        <w:rPr>
          <w:rFonts w:ascii="Arial" w:hAnsi="Arial" w:cs="Arial"/>
          <w:b/>
          <w:bCs/>
          <w:sz w:val="20"/>
          <w:lang w:val="en-US"/>
        </w:rPr>
        <w:t>Ital</w:t>
      </w:r>
      <w:r w:rsidR="00741D9D" w:rsidRPr="005E2849">
        <w:rPr>
          <w:rFonts w:ascii="Arial" w:hAnsi="Arial" w:cs="Arial"/>
          <w:b/>
          <w:bCs/>
          <w:sz w:val="20"/>
          <w:lang w:val="en-US"/>
        </w:rPr>
        <w:t>y</w:t>
      </w:r>
      <w:r w:rsidRPr="005E2849">
        <w:rPr>
          <w:rFonts w:ascii="Arial" w:hAnsi="Arial" w:cs="Arial"/>
          <w:sz w:val="20"/>
          <w:lang w:val="en-US"/>
        </w:rPr>
        <w:t xml:space="preserve"> (1.138 </w:t>
      </w:r>
      <w:r w:rsidR="00741D9D" w:rsidRPr="005E2849">
        <w:rPr>
          <w:rFonts w:ascii="Arial" w:hAnsi="Arial" w:cs="Arial"/>
          <w:sz w:val="20"/>
          <w:lang w:val="en-US"/>
        </w:rPr>
        <w:t xml:space="preserve">billion, minus </w:t>
      </w:r>
      <w:r w:rsidRPr="005E2849">
        <w:rPr>
          <w:rFonts w:ascii="Arial" w:hAnsi="Arial" w:cs="Arial"/>
          <w:sz w:val="20"/>
          <w:lang w:val="en-US"/>
        </w:rPr>
        <w:t>7</w:t>
      </w:r>
      <w:r w:rsidR="00741D9D" w:rsidRPr="005E2849">
        <w:rPr>
          <w:rFonts w:ascii="Arial" w:hAnsi="Arial" w:cs="Arial"/>
          <w:sz w:val="20"/>
          <w:lang w:val="en-US"/>
        </w:rPr>
        <w:t>.</w:t>
      </w:r>
      <w:r w:rsidRPr="005E2849">
        <w:rPr>
          <w:rFonts w:ascii="Arial" w:hAnsi="Arial" w:cs="Arial"/>
          <w:sz w:val="20"/>
          <w:lang w:val="en-US"/>
        </w:rPr>
        <w:t xml:space="preserve">6 </w:t>
      </w:r>
      <w:r w:rsidR="00741D9D" w:rsidRPr="005E2849">
        <w:rPr>
          <w:rFonts w:ascii="Arial" w:hAnsi="Arial" w:cs="Arial"/>
          <w:sz w:val="20"/>
          <w:lang w:val="en-US"/>
        </w:rPr>
        <w:t>percent</w:t>
      </w:r>
      <w:r w:rsidRPr="005E2849">
        <w:rPr>
          <w:rFonts w:ascii="Arial" w:hAnsi="Arial" w:cs="Arial"/>
          <w:sz w:val="20"/>
          <w:lang w:val="en-US"/>
        </w:rPr>
        <w:t>).</w:t>
      </w:r>
    </w:p>
    <w:p w14:paraId="72246862" w14:textId="77777777" w:rsidR="007C18D1" w:rsidRDefault="007C18D1" w:rsidP="00C62170">
      <w:pPr>
        <w:tabs>
          <w:tab w:val="left" w:pos="426"/>
        </w:tabs>
        <w:ind w:left="426"/>
        <w:rPr>
          <w:rFonts w:ascii="Arial" w:hAnsi="Arial" w:cs="Arial"/>
          <w:sz w:val="20"/>
          <w:lang w:val="en-US"/>
        </w:rPr>
      </w:pPr>
    </w:p>
    <w:p w14:paraId="21E01990" w14:textId="77777777" w:rsidR="00E34113" w:rsidRPr="00E34113" w:rsidRDefault="00E34113" w:rsidP="00C62170">
      <w:pPr>
        <w:tabs>
          <w:tab w:val="left" w:pos="426"/>
        </w:tabs>
        <w:ind w:left="426"/>
        <w:rPr>
          <w:rFonts w:ascii="Arial" w:hAnsi="Arial" w:cs="Arial"/>
          <w:sz w:val="20"/>
          <w:lang w:val="en-US"/>
        </w:rPr>
      </w:pPr>
    </w:p>
    <w:p w14:paraId="6246E9B7" w14:textId="77777777" w:rsidR="00067F91" w:rsidRPr="00E34113" w:rsidRDefault="00067F91" w:rsidP="00C62170">
      <w:pPr>
        <w:tabs>
          <w:tab w:val="left" w:pos="426"/>
        </w:tabs>
        <w:ind w:left="426"/>
        <w:rPr>
          <w:rFonts w:ascii="Arial" w:hAnsi="Arial" w:cs="Arial"/>
          <w:sz w:val="20"/>
          <w:lang w:val="en-US"/>
        </w:rPr>
      </w:pPr>
    </w:p>
    <w:p w14:paraId="533FBBDE" w14:textId="19729B49" w:rsidR="00067F91" w:rsidRPr="00E34113" w:rsidRDefault="00741D9D" w:rsidP="00741D9D">
      <w:pPr>
        <w:tabs>
          <w:tab w:val="left" w:pos="426"/>
        </w:tabs>
        <w:ind w:left="426"/>
        <w:rPr>
          <w:rFonts w:ascii="Arial" w:hAnsi="Arial" w:cs="Arial"/>
          <w:sz w:val="20"/>
          <w:lang w:val="en-US"/>
        </w:rPr>
      </w:pPr>
      <w:r w:rsidRPr="005E2849">
        <w:rPr>
          <w:rFonts w:ascii="Arial" w:hAnsi="Arial" w:cs="Arial"/>
          <w:sz w:val="20"/>
          <w:lang w:val="en-US"/>
        </w:rPr>
        <w:t>IMPORT</w:t>
      </w:r>
    </w:p>
    <w:p w14:paraId="13D45A4F" w14:textId="4E825034" w:rsidR="00C87EBA" w:rsidRPr="00E34113" w:rsidRDefault="00741D9D" w:rsidP="00741D9D">
      <w:pPr>
        <w:tabs>
          <w:tab w:val="left" w:pos="426"/>
        </w:tabs>
        <w:ind w:left="426"/>
        <w:rPr>
          <w:rFonts w:ascii="Arial" w:hAnsi="Arial" w:cs="Arial"/>
          <w:sz w:val="20"/>
          <w:lang w:val="en-US"/>
        </w:rPr>
      </w:pPr>
      <w:r w:rsidRPr="005E2849">
        <w:rPr>
          <w:rFonts w:ascii="Arial" w:hAnsi="Arial" w:cs="Arial"/>
          <w:sz w:val="20"/>
          <w:lang w:val="en-US"/>
        </w:rPr>
        <w:lastRenderedPageBreak/>
        <w:t xml:space="preserve">Moving on to import, on a global level, the </w:t>
      </w:r>
      <w:r w:rsidRPr="005E2849">
        <w:rPr>
          <w:rFonts w:ascii="Arial" w:hAnsi="Arial" w:cs="Arial"/>
          <w:b/>
          <w:bCs/>
          <w:sz w:val="20"/>
          <w:lang w:val="en-US"/>
        </w:rPr>
        <w:t>United States</w:t>
      </w:r>
      <w:r w:rsidRPr="005E2849">
        <w:rPr>
          <w:rFonts w:ascii="Arial" w:hAnsi="Arial" w:cs="Arial"/>
          <w:sz w:val="20"/>
          <w:lang w:val="en-US"/>
        </w:rPr>
        <w:t xml:space="preserve"> were the biggest customer for global suppliers, purchasing machines and plants for the wood supply chain from abroad for a total value of 1.782 billion euro</w:t>
      </w:r>
      <w:r w:rsidR="005E2849">
        <w:rPr>
          <w:rFonts w:ascii="Arial" w:hAnsi="Arial" w:cs="Arial"/>
          <w:sz w:val="20"/>
          <w:lang w:val="en-US"/>
        </w:rPr>
        <w:t>s</w:t>
      </w:r>
      <w:r w:rsidRPr="005E2849">
        <w:rPr>
          <w:rFonts w:ascii="Arial" w:hAnsi="Arial" w:cs="Arial"/>
          <w:sz w:val="20"/>
          <w:lang w:val="en-US"/>
        </w:rPr>
        <w:t xml:space="preserve">, 0.8 percent less than in the first nine months of 2023. At number two, </w:t>
      </w:r>
      <w:r w:rsidRPr="005E2849">
        <w:rPr>
          <w:rFonts w:ascii="Arial" w:hAnsi="Arial" w:cs="Arial"/>
          <w:b/>
          <w:bCs/>
          <w:sz w:val="20"/>
          <w:lang w:val="en-US"/>
        </w:rPr>
        <w:t>Germany</w:t>
      </w:r>
      <w:r w:rsidRPr="005E2849">
        <w:rPr>
          <w:rFonts w:ascii="Arial" w:hAnsi="Arial" w:cs="Arial"/>
          <w:sz w:val="20"/>
          <w:lang w:val="en-US"/>
        </w:rPr>
        <w:t xml:space="preserve"> (635 million of foreign purchases, minus 8.2 percent), followed by </w:t>
      </w:r>
      <w:r w:rsidRPr="005E2849">
        <w:rPr>
          <w:rFonts w:ascii="Arial" w:hAnsi="Arial" w:cs="Arial"/>
          <w:b/>
          <w:bCs/>
          <w:sz w:val="20"/>
          <w:lang w:val="en-US"/>
        </w:rPr>
        <w:t>Canada</w:t>
      </w:r>
      <w:r w:rsidRPr="005E2849">
        <w:rPr>
          <w:rFonts w:ascii="Arial" w:hAnsi="Arial" w:cs="Arial"/>
          <w:sz w:val="20"/>
          <w:lang w:val="en-US"/>
        </w:rPr>
        <w:t xml:space="preserve"> (486 million, plus 8.4 percent).</w:t>
      </w:r>
    </w:p>
    <w:p w14:paraId="22D31E37" w14:textId="417DADA1" w:rsidR="007F0F5D" w:rsidRPr="00E34113" w:rsidRDefault="00741D9D" w:rsidP="00741D9D">
      <w:pPr>
        <w:tabs>
          <w:tab w:val="left" w:pos="426"/>
        </w:tabs>
        <w:ind w:left="426"/>
        <w:rPr>
          <w:rFonts w:ascii="Arial" w:hAnsi="Arial" w:cs="Arial"/>
          <w:sz w:val="20"/>
          <w:lang w:val="en-US"/>
        </w:rPr>
      </w:pPr>
      <w:r w:rsidRPr="005E2849">
        <w:rPr>
          <w:rFonts w:ascii="Arial" w:hAnsi="Arial" w:cs="Arial"/>
          <w:sz w:val="20"/>
          <w:lang w:val="en-US"/>
        </w:rPr>
        <w:t xml:space="preserve">As to </w:t>
      </w:r>
      <w:r w:rsidRPr="005E2849">
        <w:rPr>
          <w:rFonts w:ascii="Arial" w:hAnsi="Arial" w:cs="Arial"/>
          <w:b/>
          <w:bCs/>
          <w:sz w:val="20"/>
          <w:lang w:val="en-US"/>
        </w:rPr>
        <w:t>Italy’s top suppliers</w:t>
      </w:r>
      <w:r w:rsidRPr="005E2849">
        <w:rPr>
          <w:rFonts w:ascii="Arial" w:hAnsi="Arial" w:cs="Arial"/>
          <w:sz w:val="20"/>
          <w:lang w:val="en-US"/>
        </w:rPr>
        <w:t xml:space="preserve"> in the January-September 2024 period, the first place in the ranking was taken by </w:t>
      </w:r>
      <w:r w:rsidRPr="005E2849">
        <w:rPr>
          <w:rFonts w:ascii="Arial" w:hAnsi="Arial" w:cs="Arial"/>
          <w:b/>
          <w:bCs/>
          <w:sz w:val="20"/>
          <w:lang w:val="en-US"/>
        </w:rPr>
        <w:t>Germany</w:t>
      </w:r>
      <w:r w:rsidRPr="005E2849">
        <w:rPr>
          <w:rFonts w:ascii="Arial" w:hAnsi="Arial" w:cs="Arial"/>
          <w:sz w:val="20"/>
          <w:lang w:val="en-US"/>
        </w:rPr>
        <w:t xml:space="preserve"> with 48 million euro (minus 48.5 percent), followed by </w:t>
      </w:r>
      <w:r w:rsidRPr="005E2849">
        <w:rPr>
          <w:rFonts w:ascii="Arial" w:hAnsi="Arial" w:cs="Arial"/>
          <w:b/>
          <w:bCs/>
          <w:sz w:val="20"/>
          <w:lang w:val="en-US"/>
        </w:rPr>
        <w:t>China</w:t>
      </w:r>
      <w:r w:rsidRPr="005E2849">
        <w:rPr>
          <w:rFonts w:ascii="Arial" w:hAnsi="Arial" w:cs="Arial"/>
          <w:sz w:val="20"/>
          <w:lang w:val="en-US"/>
        </w:rPr>
        <w:t xml:space="preserve"> (23 million, minus 3.7 percent) and </w:t>
      </w:r>
      <w:r w:rsidRPr="005E2849">
        <w:rPr>
          <w:rFonts w:ascii="Arial" w:hAnsi="Arial" w:cs="Arial"/>
          <w:b/>
          <w:bCs/>
          <w:sz w:val="20"/>
          <w:lang w:val="en-US"/>
        </w:rPr>
        <w:t>India</w:t>
      </w:r>
      <w:r w:rsidRPr="005E2849">
        <w:rPr>
          <w:rFonts w:ascii="Arial" w:hAnsi="Arial" w:cs="Arial"/>
          <w:sz w:val="20"/>
          <w:lang w:val="en-US"/>
        </w:rPr>
        <w:t xml:space="preserve"> (9 million, minus 49.8 percent)</w:t>
      </w:r>
      <w:r w:rsidR="00E34113">
        <w:rPr>
          <w:rFonts w:ascii="Arial" w:hAnsi="Arial" w:cs="Arial"/>
          <w:sz w:val="20"/>
          <w:lang w:val="en-US"/>
        </w:rPr>
        <w:t>.</w:t>
      </w:r>
    </w:p>
    <w:p w14:paraId="0B5EF96D" w14:textId="77777777" w:rsidR="00723C1E" w:rsidRPr="00E34113" w:rsidRDefault="00723C1E" w:rsidP="00C62170">
      <w:pPr>
        <w:tabs>
          <w:tab w:val="left" w:pos="426"/>
        </w:tabs>
        <w:ind w:left="426"/>
        <w:rPr>
          <w:rFonts w:ascii="Arial" w:hAnsi="Arial" w:cs="Arial"/>
          <w:sz w:val="20"/>
          <w:lang w:val="en-US"/>
        </w:rPr>
      </w:pPr>
    </w:p>
    <w:p w14:paraId="1D91B5F1" w14:textId="77777777" w:rsidR="00C87EBA" w:rsidRPr="00E34113" w:rsidRDefault="00C87EBA" w:rsidP="00C62170">
      <w:pPr>
        <w:tabs>
          <w:tab w:val="left" w:pos="426"/>
        </w:tabs>
        <w:ind w:left="426"/>
        <w:rPr>
          <w:rFonts w:ascii="Arial" w:hAnsi="Arial" w:cs="Arial"/>
          <w:color w:val="000000" w:themeColor="text1"/>
          <w:sz w:val="20"/>
          <w:lang w:val="en-US"/>
        </w:rPr>
      </w:pPr>
    </w:p>
    <w:p w14:paraId="0AEE1432" w14:textId="391887C2" w:rsidR="00C87EBA" w:rsidRPr="00E34113" w:rsidRDefault="00C87EBA" w:rsidP="007F0F5D">
      <w:pPr>
        <w:tabs>
          <w:tab w:val="left" w:pos="426"/>
        </w:tabs>
        <w:rPr>
          <w:rFonts w:ascii="Arial" w:hAnsi="Arial" w:cs="Arial"/>
          <w:color w:val="000000" w:themeColor="text1"/>
          <w:sz w:val="20"/>
          <w:lang w:val="en-US"/>
        </w:rPr>
      </w:pPr>
    </w:p>
    <w:p w14:paraId="69462C37" w14:textId="77777777" w:rsidR="00724026" w:rsidRPr="00E34113" w:rsidRDefault="00724026" w:rsidP="00C62170">
      <w:pPr>
        <w:tabs>
          <w:tab w:val="left" w:pos="426"/>
        </w:tabs>
        <w:ind w:left="426"/>
        <w:rPr>
          <w:rFonts w:ascii="Arial" w:hAnsi="Arial" w:cs="Arial"/>
          <w:i/>
          <w:sz w:val="20"/>
          <w:lang w:val="en-US"/>
        </w:rPr>
      </w:pPr>
    </w:p>
    <w:p w14:paraId="7367E250" w14:textId="77777777" w:rsidR="00F00EE7" w:rsidRPr="00E34113" w:rsidRDefault="00F00EE7" w:rsidP="00C62170">
      <w:pPr>
        <w:tabs>
          <w:tab w:val="left" w:pos="426"/>
        </w:tabs>
        <w:ind w:left="426"/>
        <w:rPr>
          <w:rFonts w:ascii="Arial" w:hAnsi="Arial" w:cs="Arial"/>
          <w:sz w:val="20"/>
          <w:lang w:val="en-US"/>
        </w:rPr>
      </w:pPr>
    </w:p>
    <w:p w14:paraId="6BDCCF7E" w14:textId="64DAFD42" w:rsidR="00840088" w:rsidRPr="00741D9D" w:rsidRDefault="00741D9D" w:rsidP="00741D9D">
      <w:pPr>
        <w:tabs>
          <w:tab w:val="left" w:pos="426"/>
        </w:tabs>
        <w:ind w:left="426"/>
        <w:rPr>
          <w:rFonts w:ascii="Arial" w:hAnsi="Arial" w:cs="Arial"/>
          <w:color w:val="000000" w:themeColor="text1"/>
          <w:sz w:val="20"/>
        </w:rPr>
      </w:pPr>
      <w:r w:rsidRPr="005E2849">
        <w:rPr>
          <w:rFonts w:ascii="Arial" w:hAnsi="Arial" w:cs="Arial"/>
          <w:i/>
          <w:sz w:val="20"/>
          <w:lang w:val="en-US"/>
        </w:rPr>
        <w:t>For more information:</w:t>
      </w:r>
    </w:p>
    <w:p w14:paraId="1110F91B" w14:textId="77777777" w:rsidR="00840088" w:rsidRPr="00122478" w:rsidRDefault="00840088" w:rsidP="00C62170">
      <w:pPr>
        <w:tabs>
          <w:tab w:val="left" w:pos="426"/>
          <w:tab w:val="left" w:pos="567"/>
        </w:tabs>
        <w:ind w:left="426"/>
        <w:jc w:val="both"/>
        <w:outlineLvl w:val="0"/>
        <w:rPr>
          <w:rFonts w:ascii="Arial" w:hAnsi="Arial" w:cs="Arial"/>
          <w:b/>
          <w:color w:val="000000" w:themeColor="text1"/>
          <w:sz w:val="20"/>
        </w:rPr>
      </w:pPr>
      <w:r w:rsidRPr="00122478">
        <w:rPr>
          <w:rFonts w:ascii="Arial" w:hAnsi="Arial" w:cs="Arial"/>
          <w:b/>
          <w:color w:val="000000" w:themeColor="text1"/>
          <w:sz w:val="20"/>
        </w:rPr>
        <w:t>Luca Rossetti</w:t>
      </w:r>
    </w:p>
    <w:p w14:paraId="3FFC3468" w14:textId="24E535A9" w:rsidR="00AF50EF" w:rsidRPr="00122478" w:rsidRDefault="00840088" w:rsidP="00C62170">
      <w:pPr>
        <w:tabs>
          <w:tab w:val="left" w:pos="426"/>
          <w:tab w:val="left" w:pos="560"/>
        </w:tabs>
        <w:ind w:left="426"/>
        <w:jc w:val="both"/>
        <w:outlineLvl w:val="0"/>
        <w:rPr>
          <w:rFonts w:ascii="Arial" w:hAnsi="Arial" w:cs="Arial"/>
          <w:color w:val="000000" w:themeColor="text1"/>
          <w:sz w:val="20"/>
        </w:rPr>
      </w:pPr>
      <w:r w:rsidRPr="00122478">
        <w:rPr>
          <w:rFonts w:ascii="Arial" w:hAnsi="Arial" w:cs="Arial"/>
          <w:color w:val="000000" w:themeColor="text1"/>
          <w:sz w:val="20"/>
        </w:rPr>
        <w:t>+39 3</w:t>
      </w:r>
      <w:r w:rsidR="0068221D" w:rsidRPr="00122478">
        <w:rPr>
          <w:rFonts w:ascii="Arial" w:hAnsi="Arial" w:cs="Arial"/>
          <w:color w:val="000000" w:themeColor="text1"/>
          <w:sz w:val="20"/>
        </w:rPr>
        <w:t>51</w:t>
      </w:r>
      <w:r w:rsidRPr="00122478">
        <w:rPr>
          <w:rFonts w:ascii="Arial" w:hAnsi="Arial" w:cs="Arial"/>
          <w:color w:val="000000" w:themeColor="text1"/>
          <w:sz w:val="20"/>
        </w:rPr>
        <w:t xml:space="preserve"> </w:t>
      </w:r>
      <w:r w:rsidR="0068221D" w:rsidRPr="00122478">
        <w:rPr>
          <w:rFonts w:ascii="Arial" w:hAnsi="Arial" w:cs="Arial"/>
          <w:color w:val="000000" w:themeColor="text1"/>
          <w:sz w:val="20"/>
        </w:rPr>
        <w:t>9098189</w:t>
      </w:r>
      <w:r w:rsidRPr="00122478">
        <w:rPr>
          <w:rFonts w:ascii="Arial" w:hAnsi="Arial" w:cs="Arial"/>
          <w:color w:val="000000" w:themeColor="text1"/>
          <w:sz w:val="20"/>
        </w:rPr>
        <w:t xml:space="preserve"> - </w:t>
      </w:r>
      <w:hyperlink r:id="rId8" w:history="1">
        <w:r w:rsidRPr="00122478">
          <w:rPr>
            <w:rStyle w:val="Collegamentoipertestuale"/>
            <w:rFonts w:ascii="Arial" w:hAnsi="Arial" w:cs="Arial"/>
            <w:color w:val="000000" w:themeColor="text1"/>
            <w:sz w:val="20"/>
            <w:u w:val="none"/>
          </w:rPr>
          <w:t>press@acimall.com</w:t>
        </w:r>
      </w:hyperlink>
    </w:p>
    <w:sectPr w:rsidR="00AF50EF" w:rsidRPr="00122478" w:rsidSect="008570D7">
      <w:headerReference w:type="default" r:id="rId9"/>
      <w:footerReference w:type="even" r:id="rId10"/>
      <w:footerReference w:type="default" r:id="rId11"/>
      <w:headerReference w:type="first" r:id="rId12"/>
      <w:footerReference w:type="first" r:id="rId13"/>
      <w:pgSz w:w="11906" w:h="16838" w:code="9"/>
      <w:pgMar w:top="1276" w:right="991" w:bottom="142"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2C8A" w14:textId="77777777" w:rsidR="00070382" w:rsidRDefault="00070382">
      <w:r>
        <w:separator/>
      </w:r>
    </w:p>
  </w:endnote>
  <w:endnote w:type="continuationSeparator" w:id="0">
    <w:p w14:paraId="2EEB9E3B" w14:textId="77777777" w:rsidR="00070382" w:rsidRDefault="0007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notTrueType/>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00"/>
    <w:family w:val="swiss"/>
    <w:notTrueType/>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5BF6" w14:textId="77777777" w:rsidR="00BD6D92" w:rsidRDefault="00BD6D9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BD6D92" w:rsidRDefault="00BD6D9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5DE1" w14:textId="77777777" w:rsidR="00BD6D92" w:rsidRDefault="00BD6D92">
    <w:pPr>
      <w:pStyle w:val="Pidipagina"/>
      <w:framePr w:wrap="around" w:vAnchor="text" w:hAnchor="page" w:x="5488" w:y="524"/>
      <w:jc w:val="center"/>
      <w:rPr>
        <w:rStyle w:val="Numeropagina"/>
      </w:rPr>
    </w:pPr>
  </w:p>
  <w:p w14:paraId="6A2D504F" w14:textId="77777777" w:rsidR="00BD6D92" w:rsidRDefault="00BD6D92">
    <w:pPr>
      <w:pStyle w:val="Pidipagina"/>
      <w:ind w:right="360"/>
    </w:pPr>
    <w:r>
      <w:t xml:space="preserve">   </w:t>
    </w:r>
  </w:p>
  <w:p w14:paraId="676EE327" w14:textId="196C1161" w:rsidR="00BD6D92" w:rsidRDefault="00BD6D92">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B1D6" w14:textId="77777777" w:rsidR="00BD6D92" w:rsidRDefault="00BD6D92">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88F9" w14:textId="77777777" w:rsidR="00070382" w:rsidRDefault="00070382">
      <w:r>
        <w:separator/>
      </w:r>
    </w:p>
  </w:footnote>
  <w:footnote w:type="continuationSeparator" w:id="0">
    <w:p w14:paraId="6739C601" w14:textId="77777777" w:rsidR="00070382" w:rsidRDefault="0007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CE48" w14:textId="6DC56FCB" w:rsidR="00BD6D92" w:rsidRDefault="00BD6D92">
    <w:pPr>
      <w:pStyle w:val="Intestazione"/>
      <w:ind w:left="360"/>
    </w:pPr>
  </w:p>
  <w:p w14:paraId="302658E1" w14:textId="77777777" w:rsidR="00BD6D92" w:rsidRDefault="00BD6D92">
    <w:pPr>
      <w:pStyle w:val="Intestazione"/>
      <w:ind w:left="360"/>
    </w:pPr>
  </w:p>
  <w:p w14:paraId="4A2C7678" w14:textId="77777777" w:rsidR="00BD6D92" w:rsidRDefault="00BD6D92">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B4B7" w14:textId="39D9834C" w:rsidR="00BD6D92" w:rsidRDefault="00BD6D92">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512650056">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963585390">
    <w:abstractNumId w:val="2"/>
  </w:num>
  <w:num w:numId="3" w16cid:durableId="89424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0D59"/>
    <w:rsid w:val="000128D3"/>
    <w:rsid w:val="0001539F"/>
    <w:rsid w:val="0001721B"/>
    <w:rsid w:val="000230F1"/>
    <w:rsid w:val="00067F91"/>
    <w:rsid w:val="00070382"/>
    <w:rsid w:val="00071DF6"/>
    <w:rsid w:val="000851C9"/>
    <w:rsid w:val="00087FD9"/>
    <w:rsid w:val="00095C56"/>
    <w:rsid w:val="000A33AA"/>
    <w:rsid w:val="000B731F"/>
    <w:rsid w:val="000C05B7"/>
    <w:rsid w:val="000C2E18"/>
    <w:rsid w:val="000C3F77"/>
    <w:rsid w:val="000C4AD3"/>
    <w:rsid w:val="000C5C5F"/>
    <w:rsid w:val="000E417A"/>
    <w:rsid w:val="000E4BEE"/>
    <w:rsid w:val="000E661F"/>
    <w:rsid w:val="000E7459"/>
    <w:rsid w:val="000F4C0F"/>
    <w:rsid w:val="00104F31"/>
    <w:rsid w:val="00122478"/>
    <w:rsid w:val="001258BE"/>
    <w:rsid w:val="00130D7E"/>
    <w:rsid w:val="00140D22"/>
    <w:rsid w:val="00142024"/>
    <w:rsid w:val="00146A9C"/>
    <w:rsid w:val="00163A91"/>
    <w:rsid w:val="001670C8"/>
    <w:rsid w:val="001702AD"/>
    <w:rsid w:val="0017075B"/>
    <w:rsid w:val="00174464"/>
    <w:rsid w:val="0018053C"/>
    <w:rsid w:val="00180621"/>
    <w:rsid w:val="00180C1C"/>
    <w:rsid w:val="001812CA"/>
    <w:rsid w:val="00181C29"/>
    <w:rsid w:val="00181DE3"/>
    <w:rsid w:val="00184DDA"/>
    <w:rsid w:val="00194570"/>
    <w:rsid w:val="001956B8"/>
    <w:rsid w:val="001A615F"/>
    <w:rsid w:val="001B28A8"/>
    <w:rsid w:val="001B415A"/>
    <w:rsid w:val="001B424B"/>
    <w:rsid w:val="001B57D7"/>
    <w:rsid w:val="001C0269"/>
    <w:rsid w:val="001C421C"/>
    <w:rsid w:val="001D5649"/>
    <w:rsid w:val="001D79A8"/>
    <w:rsid w:val="001E067F"/>
    <w:rsid w:val="001E6154"/>
    <w:rsid w:val="001E6A15"/>
    <w:rsid w:val="001E72A3"/>
    <w:rsid w:val="001F0D52"/>
    <w:rsid w:val="001F51B2"/>
    <w:rsid w:val="002042B0"/>
    <w:rsid w:val="00207FBA"/>
    <w:rsid w:val="00210CF8"/>
    <w:rsid w:val="002178A4"/>
    <w:rsid w:val="00224AB3"/>
    <w:rsid w:val="002255FB"/>
    <w:rsid w:val="0023105F"/>
    <w:rsid w:val="00232B02"/>
    <w:rsid w:val="00240236"/>
    <w:rsid w:val="00245DE1"/>
    <w:rsid w:val="00254562"/>
    <w:rsid w:val="002545BF"/>
    <w:rsid w:val="002556DD"/>
    <w:rsid w:val="002632E5"/>
    <w:rsid w:val="002650C8"/>
    <w:rsid w:val="00272082"/>
    <w:rsid w:val="00277B4A"/>
    <w:rsid w:val="00286B70"/>
    <w:rsid w:val="00291DE3"/>
    <w:rsid w:val="00294EDD"/>
    <w:rsid w:val="002A753A"/>
    <w:rsid w:val="002C4C21"/>
    <w:rsid w:val="002D2F93"/>
    <w:rsid w:val="002E4EC4"/>
    <w:rsid w:val="002F11D9"/>
    <w:rsid w:val="002F2963"/>
    <w:rsid w:val="002F5769"/>
    <w:rsid w:val="00304533"/>
    <w:rsid w:val="00305B4C"/>
    <w:rsid w:val="0030697D"/>
    <w:rsid w:val="00307139"/>
    <w:rsid w:val="00313293"/>
    <w:rsid w:val="00313979"/>
    <w:rsid w:val="00326C06"/>
    <w:rsid w:val="00342D10"/>
    <w:rsid w:val="0034316E"/>
    <w:rsid w:val="00345D05"/>
    <w:rsid w:val="00365C65"/>
    <w:rsid w:val="00366693"/>
    <w:rsid w:val="00366E20"/>
    <w:rsid w:val="00376C83"/>
    <w:rsid w:val="00381921"/>
    <w:rsid w:val="003838AD"/>
    <w:rsid w:val="00386076"/>
    <w:rsid w:val="003A73F0"/>
    <w:rsid w:val="003B059D"/>
    <w:rsid w:val="003B109F"/>
    <w:rsid w:val="003C0C4B"/>
    <w:rsid w:val="003D3CCC"/>
    <w:rsid w:val="003F1E14"/>
    <w:rsid w:val="003F371B"/>
    <w:rsid w:val="003F5CBB"/>
    <w:rsid w:val="0040219C"/>
    <w:rsid w:val="0040679A"/>
    <w:rsid w:val="00406AB7"/>
    <w:rsid w:val="00416C21"/>
    <w:rsid w:val="00423CEB"/>
    <w:rsid w:val="004317DD"/>
    <w:rsid w:val="00433532"/>
    <w:rsid w:val="00434C7E"/>
    <w:rsid w:val="00440FDD"/>
    <w:rsid w:val="0044289E"/>
    <w:rsid w:val="00444D05"/>
    <w:rsid w:val="004525E1"/>
    <w:rsid w:val="004559D3"/>
    <w:rsid w:val="00463561"/>
    <w:rsid w:val="00471328"/>
    <w:rsid w:val="004720FA"/>
    <w:rsid w:val="0048749B"/>
    <w:rsid w:val="004B203B"/>
    <w:rsid w:val="004B3B06"/>
    <w:rsid w:val="004C0EA0"/>
    <w:rsid w:val="004C4277"/>
    <w:rsid w:val="004D1F82"/>
    <w:rsid w:val="004E5439"/>
    <w:rsid w:val="004E619F"/>
    <w:rsid w:val="004E64E2"/>
    <w:rsid w:val="004F1C0F"/>
    <w:rsid w:val="00515738"/>
    <w:rsid w:val="0051737B"/>
    <w:rsid w:val="00524EB0"/>
    <w:rsid w:val="00532AB7"/>
    <w:rsid w:val="00536329"/>
    <w:rsid w:val="00544E4C"/>
    <w:rsid w:val="005538A4"/>
    <w:rsid w:val="00553F39"/>
    <w:rsid w:val="00556E60"/>
    <w:rsid w:val="00566630"/>
    <w:rsid w:val="005767D1"/>
    <w:rsid w:val="00580071"/>
    <w:rsid w:val="00583DA9"/>
    <w:rsid w:val="00585084"/>
    <w:rsid w:val="0059724A"/>
    <w:rsid w:val="005A2C26"/>
    <w:rsid w:val="005B514B"/>
    <w:rsid w:val="005C3375"/>
    <w:rsid w:val="005C788E"/>
    <w:rsid w:val="005D1711"/>
    <w:rsid w:val="005D4C94"/>
    <w:rsid w:val="005D60A5"/>
    <w:rsid w:val="005D6503"/>
    <w:rsid w:val="005D6F46"/>
    <w:rsid w:val="005D7B5B"/>
    <w:rsid w:val="005E2849"/>
    <w:rsid w:val="005E5302"/>
    <w:rsid w:val="005F5DB2"/>
    <w:rsid w:val="00606A53"/>
    <w:rsid w:val="0062142E"/>
    <w:rsid w:val="0063567C"/>
    <w:rsid w:val="00657A86"/>
    <w:rsid w:val="0066775B"/>
    <w:rsid w:val="00671AAE"/>
    <w:rsid w:val="0068221D"/>
    <w:rsid w:val="006826C3"/>
    <w:rsid w:val="00683168"/>
    <w:rsid w:val="0069229C"/>
    <w:rsid w:val="006A64E2"/>
    <w:rsid w:val="006B1101"/>
    <w:rsid w:val="006C02B5"/>
    <w:rsid w:val="006F4E55"/>
    <w:rsid w:val="00705D68"/>
    <w:rsid w:val="007122E6"/>
    <w:rsid w:val="00720D6D"/>
    <w:rsid w:val="00720E57"/>
    <w:rsid w:val="00723C1E"/>
    <w:rsid w:val="00724026"/>
    <w:rsid w:val="00724BEA"/>
    <w:rsid w:val="00736007"/>
    <w:rsid w:val="00741D9D"/>
    <w:rsid w:val="007443A2"/>
    <w:rsid w:val="0074701F"/>
    <w:rsid w:val="00747646"/>
    <w:rsid w:val="00756B93"/>
    <w:rsid w:val="00760EDC"/>
    <w:rsid w:val="007611D0"/>
    <w:rsid w:val="00762E78"/>
    <w:rsid w:val="00771F13"/>
    <w:rsid w:val="00773075"/>
    <w:rsid w:val="00786BB1"/>
    <w:rsid w:val="00786C26"/>
    <w:rsid w:val="007A6D51"/>
    <w:rsid w:val="007B2DBD"/>
    <w:rsid w:val="007B3109"/>
    <w:rsid w:val="007B4E57"/>
    <w:rsid w:val="007B72D5"/>
    <w:rsid w:val="007B78E8"/>
    <w:rsid w:val="007C18D1"/>
    <w:rsid w:val="007D28CA"/>
    <w:rsid w:val="007E06BB"/>
    <w:rsid w:val="007E4435"/>
    <w:rsid w:val="007E5480"/>
    <w:rsid w:val="007F0F5D"/>
    <w:rsid w:val="00800F6A"/>
    <w:rsid w:val="0080513A"/>
    <w:rsid w:val="00807D67"/>
    <w:rsid w:val="00830C43"/>
    <w:rsid w:val="00840088"/>
    <w:rsid w:val="00840B4A"/>
    <w:rsid w:val="0084705B"/>
    <w:rsid w:val="00856DB9"/>
    <w:rsid w:val="008570D7"/>
    <w:rsid w:val="00865C7A"/>
    <w:rsid w:val="0086642A"/>
    <w:rsid w:val="0087060B"/>
    <w:rsid w:val="008850FB"/>
    <w:rsid w:val="00891675"/>
    <w:rsid w:val="0089471C"/>
    <w:rsid w:val="008A5509"/>
    <w:rsid w:val="008C261D"/>
    <w:rsid w:val="008C32CC"/>
    <w:rsid w:val="008C3ACA"/>
    <w:rsid w:val="008D4239"/>
    <w:rsid w:val="008D5723"/>
    <w:rsid w:val="008E444A"/>
    <w:rsid w:val="008E5DBF"/>
    <w:rsid w:val="008E606A"/>
    <w:rsid w:val="008F01AF"/>
    <w:rsid w:val="008F4FEF"/>
    <w:rsid w:val="00901E8C"/>
    <w:rsid w:val="009024DF"/>
    <w:rsid w:val="00904BBD"/>
    <w:rsid w:val="00905D70"/>
    <w:rsid w:val="00917407"/>
    <w:rsid w:val="009201D1"/>
    <w:rsid w:val="00927BEF"/>
    <w:rsid w:val="009316CA"/>
    <w:rsid w:val="00932B59"/>
    <w:rsid w:val="00932BC6"/>
    <w:rsid w:val="009368DA"/>
    <w:rsid w:val="00941E08"/>
    <w:rsid w:val="00946C6A"/>
    <w:rsid w:val="00947D81"/>
    <w:rsid w:val="00960785"/>
    <w:rsid w:val="0096488C"/>
    <w:rsid w:val="009703DB"/>
    <w:rsid w:val="009720DF"/>
    <w:rsid w:val="00972D3C"/>
    <w:rsid w:val="00973A6D"/>
    <w:rsid w:val="00975B1A"/>
    <w:rsid w:val="009761D9"/>
    <w:rsid w:val="00976C03"/>
    <w:rsid w:val="0097719C"/>
    <w:rsid w:val="00985C7E"/>
    <w:rsid w:val="00990459"/>
    <w:rsid w:val="00991CBC"/>
    <w:rsid w:val="00993D0D"/>
    <w:rsid w:val="009978F4"/>
    <w:rsid w:val="009B47DD"/>
    <w:rsid w:val="009C5B81"/>
    <w:rsid w:val="009C6F87"/>
    <w:rsid w:val="009D300B"/>
    <w:rsid w:val="009E5E5C"/>
    <w:rsid w:val="009E6FC3"/>
    <w:rsid w:val="00A004C4"/>
    <w:rsid w:val="00A018A0"/>
    <w:rsid w:val="00A029E7"/>
    <w:rsid w:val="00A108DB"/>
    <w:rsid w:val="00A11689"/>
    <w:rsid w:val="00A17558"/>
    <w:rsid w:val="00A24050"/>
    <w:rsid w:val="00A24489"/>
    <w:rsid w:val="00A2581D"/>
    <w:rsid w:val="00A3515C"/>
    <w:rsid w:val="00A60694"/>
    <w:rsid w:val="00A76779"/>
    <w:rsid w:val="00A86E2C"/>
    <w:rsid w:val="00AB2684"/>
    <w:rsid w:val="00AB4D14"/>
    <w:rsid w:val="00AB77FB"/>
    <w:rsid w:val="00AB7930"/>
    <w:rsid w:val="00AC6E91"/>
    <w:rsid w:val="00AE1B9E"/>
    <w:rsid w:val="00AE4257"/>
    <w:rsid w:val="00AE51EF"/>
    <w:rsid w:val="00AF46AF"/>
    <w:rsid w:val="00AF50EF"/>
    <w:rsid w:val="00B024BA"/>
    <w:rsid w:val="00B06E14"/>
    <w:rsid w:val="00B0713B"/>
    <w:rsid w:val="00B10EE6"/>
    <w:rsid w:val="00B329E2"/>
    <w:rsid w:val="00B33B48"/>
    <w:rsid w:val="00B33F4A"/>
    <w:rsid w:val="00B47656"/>
    <w:rsid w:val="00B50A3F"/>
    <w:rsid w:val="00B657A0"/>
    <w:rsid w:val="00B65A3E"/>
    <w:rsid w:val="00B72A34"/>
    <w:rsid w:val="00B7327C"/>
    <w:rsid w:val="00B77080"/>
    <w:rsid w:val="00B81E51"/>
    <w:rsid w:val="00B9584F"/>
    <w:rsid w:val="00BA6AA2"/>
    <w:rsid w:val="00BC3417"/>
    <w:rsid w:val="00BC547E"/>
    <w:rsid w:val="00BD40BD"/>
    <w:rsid w:val="00BD4D44"/>
    <w:rsid w:val="00BD4E9A"/>
    <w:rsid w:val="00BD6D92"/>
    <w:rsid w:val="00BF2118"/>
    <w:rsid w:val="00BF35BC"/>
    <w:rsid w:val="00C04852"/>
    <w:rsid w:val="00C07008"/>
    <w:rsid w:val="00C10DE6"/>
    <w:rsid w:val="00C11B67"/>
    <w:rsid w:val="00C12950"/>
    <w:rsid w:val="00C26EF2"/>
    <w:rsid w:val="00C313DA"/>
    <w:rsid w:val="00C41993"/>
    <w:rsid w:val="00C435AF"/>
    <w:rsid w:val="00C441DA"/>
    <w:rsid w:val="00C44607"/>
    <w:rsid w:val="00C54EF3"/>
    <w:rsid w:val="00C55169"/>
    <w:rsid w:val="00C60722"/>
    <w:rsid w:val="00C62170"/>
    <w:rsid w:val="00C639FC"/>
    <w:rsid w:val="00C77BDC"/>
    <w:rsid w:val="00C87EBA"/>
    <w:rsid w:val="00C91D54"/>
    <w:rsid w:val="00C95E79"/>
    <w:rsid w:val="00C96A6C"/>
    <w:rsid w:val="00CB70B1"/>
    <w:rsid w:val="00CB7879"/>
    <w:rsid w:val="00CE1E86"/>
    <w:rsid w:val="00CE4D8E"/>
    <w:rsid w:val="00CE6324"/>
    <w:rsid w:val="00CE7C6D"/>
    <w:rsid w:val="00CF5279"/>
    <w:rsid w:val="00D0397B"/>
    <w:rsid w:val="00D04850"/>
    <w:rsid w:val="00D0677A"/>
    <w:rsid w:val="00D10A5D"/>
    <w:rsid w:val="00D16C13"/>
    <w:rsid w:val="00D32BC8"/>
    <w:rsid w:val="00D42442"/>
    <w:rsid w:val="00D47E18"/>
    <w:rsid w:val="00D7134F"/>
    <w:rsid w:val="00D91B3F"/>
    <w:rsid w:val="00DA65BA"/>
    <w:rsid w:val="00DA6750"/>
    <w:rsid w:val="00DB7438"/>
    <w:rsid w:val="00DC53CF"/>
    <w:rsid w:val="00DD038E"/>
    <w:rsid w:val="00DE3BC7"/>
    <w:rsid w:val="00DE3DFA"/>
    <w:rsid w:val="00E04E31"/>
    <w:rsid w:val="00E07556"/>
    <w:rsid w:val="00E12D44"/>
    <w:rsid w:val="00E211D9"/>
    <w:rsid w:val="00E2671D"/>
    <w:rsid w:val="00E26F68"/>
    <w:rsid w:val="00E34113"/>
    <w:rsid w:val="00E411B3"/>
    <w:rsid w:val="00E6024D"/>
    <w:rsid w:val="00E60591"/>
    <w:rsid w:val="00E65415"/>
    <w:rsid w:val="00E655B9"/>
    <w:rsid w:val="00E66C6E"/>
    <w:rsid w:val="00E92C27"/>
    <w:rsid w:val="00EA05AD"/>
    <w:rsid w:val="00EA2914"/>
    <w:rsid w:val="00EC0A31"/>
    <w:rsid w:val="00ED118D"/>
    <w:rsid w:val="00EF03CB"/>
    <w:rsid w:val="00EF3187"/>
    <w:rsid w:val="00F00863"/>
    <w:rsid w:val="00F00EE7"/>
    <w:rsid w:val="00F01932"/>
    <w:rsid w:val="00F15D95"/>
    <w:rsid w:val="00F259BE"/>
    <w:rsid w:val="00F30178"/>
    <w:rsid w:val="00F3539D"/>
    <w:rsid w:val="00F379D8"/>
    <w:rsid w:val="00F40DE6"/>
    <w:rsid w:val="00F52162"/>
    <w:rsid w:val="00F64584"/>
    <w:rsid w:val="00F7011C"/>
    <w:rsid w:val="00F76DF4"/>
    <w:rsid w:val="00FB5D0B"/>
    <w:rsid w:val="00FD043C"/>
    <w:rsid w:val="00FD2F1D"/>
    <w:rsid w:val="00FF03C7"/>
    <w:rsid w:val="00FF2E86"/>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62284E42"/>
  <w15:docId w15:val="{61D53AD9-9B9D-4D40-8117-AD169CF9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1</TotalTime>
  <Pages>2</Pages>
  <Words>679</Words>
  <Characters>3773</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4444</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2025-02-13T11:00:00Z</cp:lastPrinted>
  <dcterms:created xsi:type="dcterms:W3CDTF">2025-02-18T11:41:00Z</dcterms:created>
  <dcterms:modified xsi:type="dcterms:W3CDTF">2025-02-18T11:41:00Z</dcterms:modified>
</cp:coreProperties>
</file>