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9" w:type="dxa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4"/>
        <w:gridCol w:w="3332"/>
        <w:gridCol w:w="2493"/>
      </w:tblGrid>
      <w:tr w:rsidR="00C12950" w14:paraId="4006D47A" w14:textId="77777777" w:rsidTr="00A029E7">
        <w:trPr>
          <w:trHeight w:val="540"/>
        </w:trPr>
        <w:tc>
          <w:tcPr>
            <w:tcW w:w="3184" w:type="dxa"/>
          </w:tcPr>
          <w:p w14:paraId="4A7DB992" w14:textId="6A1F3136" w:rsidR="00C12950" w:rsidRPr="00597D37" w:rsidRDefault="00A029E7" w:rsidP="00A029E7">
            <w:pPr>
              <w:tabs>
                <w:tab w:val="left" w:pos="-430"/>
              </w:tabs>
              <w:ind w:left="-4" w:right="212"/>
              <w:jc w:val="both"/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1E05D070" wp14:editId="7BBC2007">
                  <wp:extent cx="1865630" cy="438311"/>
                  <wp:effectExtent l="0" t="0" r="0" b="0"/>
                  <wp:docPr id="2" name="Immagine 2" descr="MacBook Pro HD:Users:lucarossetti:Desktop:ACIMALL new 2019:LOGO_ACIMALL senza bian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Book Pro HD:Users:lucarossetti:Desktop:ACIMALL new 2019:LOGO_ACIMALL senza bian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5630" cy="438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2" w:type="dxa"/>
          </w:tcPr>
          <w:p w14:paraId="5444F25A" w14:textId="77777777" w:rsidR="00C12950" w:rsidRDefault="00C12950" w:rsidP="00A029E7">
            <w:pPr>
              <w:pStyle w:val="Titolo1"/>
              <w:ind w:right="212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Acimall</w:t>
            </w:r>
            <w:proofErr w:type="spellEnd"/>
          </w:p>
          <w:p w14:paraId="74123824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 xml:space="preserve">Centro Direzionale </w:t>
            </w:r>
            <w:proofErr w:type="spellStart"/>
            <w:r>
              <w:rPr>
                <w:rFonts w:ascii="Helvetica" w:hAnsi="Helvetica"/>
                <w:sz w:val="16"/>
              </w:rPr>
              <w:t>Milanofiori</w:t>
            </w:r>
            <w:proofErr w:type="spellEnd"/>
          </w:p>
          <w:p w14:paraId="7A00A7EC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Strada</w:t>
            </w:r>
            <w:r w:rsidR="000C5C5F">
              <w:rPr>
                <w:rFonts w:ascii="Helvetica" w:hAnsi="Helvetica"/>
                <w:sz w:val="16"/>
              </w:rPr>
              <w:t xml:space="preserve"> 1</w:t>
            </w:r>
            <w:r>
              <w:rPr>
                <w:rFonts w:ascii="Helvetica" w:hAnsi="Helvetica"/>
                <w:sz w:val="16"/>
              </w:rPr>
              <w:t xml:space="preserve"> - Palazzo F3</w:t>
            </w:r>
          </w:p>
          <w:p w14:paraId="063709D7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I-20090 Assago (Milano)</w:t>
            </w:r>
          </w:p>
          <w:p w14:paraId="08812F63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phone +39 02 89210200</w:t>
            </w:r>
          </w:p>
          <w:p w14:paraId="5F0397DE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fax +39 02 8259009</w:t>
            </w:r>
          </w:p>
          <w:p w14:paraId="27E6149D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www.acimall.com</w:t>
            </w:r>
          </w:p>
          <w:p w14:paraId="40B19344" w14:textId="77777777" w:rsidR="00C12950" w:rsidRDefault="00C12950" w:rsidP="00A029E7">
            <w:pPr>
              <w:ind w:right="212"/>
              <w:jc w:val="both"/>
            </w:pPr>
            <w:r>
              <w:rPr>
                <w:rFonts w:ascii="Helvetica" w:hAnsi="Helvetica"/>
                <w:sz w:val="16"/>
              </w:rPr>
              <w:t>info@acimall.com</w:t>
            </w:r>
          </w:p>
        </w:tc>
        <w:tc>
          <w:tcPr>
            <w:tcW w:w="2493" w:type="dxa"/>
          </w:tcPr>
          <w:p w14:paraId="776B756F" w14:textId="3101CCB7" w:rsidR="00C12950" w:rsidRDefault="003D3CCC" w:rsidP="008E444A">
            <w:pPr>
              <w:ind w:left="-142" w:right="212"/>
              <w:jc w:val="right"/>
              <w:rPr>
                <w:rFonts w:ascii="Helvetica" w:hAnsi="Helvetica"/>
                <w:b/>
                <w:sz w:val="28"/>
              </w:rPr>
            </w:pPr>
            <w:r>
              <w:rPr>
                <w:rFonts w:ascii="Helvetica" w:hAnsi="Helvetica"/>
                <w:b/>
                <w:w w:val="108"/>
                <w:kern w:val="22"/>
                <w:sz w:val="28"/>
              </w:rPr>
              <w:t xml:space="preserve"> </w:t>
            </w:r>
            <w:r w:rsidR="00C12950">
              <w:rPr>
                <w:rFonts w:ascii="Helvetica" w:hAnsi="Helvetica"/>
                <w:b/>
                <w:w w:val="108"/>
                <w:kern w:val="22"/>
                <w:sz w:val="28"/>
              </w:rPr>
              <w:t xml:space="preserve">ufficio </w:t>
            </w:r>
            <w:r w:rsidR="00C12950">
              <w:rPr>
                <w:rFonts w:ascii="Helvetica" w:hAnsi="Helvetica"/>
                <w:b/>
                <w:sz w:val="28"/>
              </w:rPr>
              <w:t>stampa</w:t>
            </w:r>
          </w:p>
          <w:p w14:paraId="70852C71" w14:textId="05277552" w:rsidR="00C12950" w:rsidRPr="0088052D" w:rsidRDefault="002A632E" w:rsidP="00FD434E">
            <w:pPr>
              <w:ind w:left="-142" w:right="212"/>
              <w:jc w:val="right"/>
              <w:rPr>
                <w:rFonts w:ascii="Gill Sans MT" w:hAnsi="Gill Sans MT"/>
                <w:b/>
                <w:color w:val="000000" w:themeColor="text1"/>
                <w:sz w:val="14"/>
              </w:rPr>
            </w:pPr>
            <w:r w:rsidRPr="0088052D">
              <w:rPr>
                <w:rFonts w:ascii="Helvetica" w:hAnsi="Helvetica"/>
                <w:color w:val="000000" w:themeColor="text1"/>
                <w:sz w:val="14"/>
              </w:rPr>
              <w:t>0</w:t>
            </w:r>
            <w:r w:rsidR="00FD434E" w:rsidRPr="0088052D">
              <w:rPr>
                <w:rFonts w:ascii="Helvetica" w:hAnsi="Helvetica"/>
                <w:color w:val="000000" w:themeColor="text1"/>
                <w:sz w:val="14"/>
              </w:rPr>
              <w:t>9</w:t>
            </w:r>
            <w:r w:rsidRPr="0088052D">
              <w:rPr>
                <w:rFonts w:ascii="Helvetica" w:hAnsi="Helvetica"/>
                <w:color w:val="000000" w:themeColor="text1"/>
                <w:sz w:val="14"/>
              </w:rPr>
              <w:t xml:space="preserve"> maggio</w:t>
            </w:r>
            <w:r w:rsidR="005D6F46" w:rsidRPr="0088052D">
              <w:rPr>
                <w:rFonts w:ascii="Helvetica" w:hAnsi="Helvetica"/>
                <w:color w:val="000000" w:themeColor="text1"/>
                <w:sz w:val="14"/>
              </w:rPr>
              <w:t xml:space="preserve"> 202</w:t>
            </w:r>
            <w:r w:rsidR="00D0397B" w:rsidRPr="0088052D">
              <w:rPr>
                <w:rFonts w:ascii="Helvetica" w:hAnsi="Helvetica"/>
                <w:color w:val="000000" w:themeColor="text1"/>
                <w:sz w:val="14"/>
              </w:rPr>
              <w:t>2</w:t>
            </w:r>
          </w:p>
        </w:tc>
      </w:tr>
    </w:tbl>
    <w:p w14:paraId="611215AC" w14:textId="77777777" w:rsidR="00C12950" w:rsidRDefault="00C12950" w:rsidP="00C12950">
      <w:pPr>
        <w:jc w:val="both"/>
        <w:rPr>
          <w:rFonts w:ascii="Arial" w:hAnsi="Arial"/>
          <w:sz w:val="20"/>
        </w:rPr>
      </w:pPr>
    </w:p>
    <w:p w14:paraId="0DD66105" w14:textId="77777777" w:rsidR="00C12950" w:rsidRPr="00B33B48" w:rsidRDefault="00C12950" w:rsidP="00B33B48">
      <w:pPr>
        <w:ind w:left="426"/>
        <w:jc w:val="both"/>
        <w:rPr>
          <w:rFonts w:ascii="Arial" w:hAnsi="Arial" w:cs="Arial"/>
          <w:sz w:val="20"/>
        </w:rPr>
      </w:pPr>
    </w:p>
    <w:p w14:paraId="302BE59F" w14:textId="77777777" w:rsidR="00BD4E9A" w:rsidRPr="00B33B48" w:rsidRDefault="00BD4E9A" w:rsidP="00B33B48">
      <w:pPr>
        <w:ind w:left="426"/>
        <w:jc w:val="both"/>
        <w:rPr>
          <w:rFonts w:ascii="Arial" w:hAnsi="Arial" w:cs="Arial"/>
          <w:b/>
          <w:sz w:val="20"/>
        </w:rPr>
      </w:pPr>
    </w:p>
    <w:p w14:paraId="4AF431D0" w14:textId="77777777" w:rsidR="001D79A8" w:rsidRDefault="001D79A8" w:rsidP="00A76779">
      <w:pPr>
        <w:jc w:val="both"/>
        <w:rPr>
          <w:rFonts w:ascii="Arial" w:hAnsi="Arial" w:cs="Arial"/>
          <w:b/>
          <w:sz w:val="20"/>
        </w:rPr>
      </w:pPr>
    </w:p>
    <w:p w14:paraId="1527D40E" w14:textId="00AD6CED" w:rsidR="001D79A8" w:rsidRDefault="001D79A8" w:rsidP="00B33B48">
      <w:pPr>
        <w:ind w:left="426"/>
        <w:jc w:val="both"/>
        <w:rPr>
          <w:rFonts w:ascii="Arial" w:hAnsi="Arial" w:cs="Arial"/>
          <w:b/>
          <w:sz w:val="20"/>
        </w:rPr>
      </w:pPr>
    </w:p>
    <w:p w14:paraId="18386A96" w14:textId="77777777" w:rsidR="00EF3187" w:rsidRDefault="00EF3187" w:rsidP="00B33B48">
      <w:pPr>
        <w:ind w:left="426"/>
        <w:jc w:val="both"/>
        <w:rPr>
          <w:rFonts w:ascii="Arial" w:hAnsi="Arial" w:cs="Arial"/>
          <w:b/>
          <w:sz w:val="20"/>
        </w:rPr>
      </w:pPr>
    </w:p>
    <w:p w14:paraId="44DF9640" w14:textId="77777777" w:rsidR="009D300B" w:rsidRDefault="009D300B" w:rsidP="00B33B48">
      <w:pPr>
        <w:ind w:left="426"/>
        <w:jc w:val="both"/>
        <w:rPr>
          <w:rFonts w:ascii="Arial" w:hAnsi="Arial" w:cs="Arial"/>
          <w:b/>
          <w:sz w:val="20"/>
        </w:rPr>
      </w:pPr>
    </w:p>
    <w:p w14:paraId="2C1204A0" w14:textId="4A48299E" w:rsidR="001670C8" w:rsidRDefault="001670C8" w:rsidP="00A76779">
      <w:pPr>
        <w:jc w:val="both"/>
        <w:rPr>
          <w:rFonts w:ascii="Arial" w:hAnsi="Arial" w:cs="Arial"/>
          <w:b/>
          <w:sz w:val="20"/>
        </w:rPr>
      </w:pPr>
    </w:p>
    <w:p w14:paraId="4D7174C7" w14:textId="77777777" w:rsidR="001670C8" w:rsidRPr="00B33B48" w:rsidRDefault="001670C8" w:rsidP="00A76779">
      <w:pPr>
        <w:jc w:val="both"/>
        <w:rPr>
          <w:rFonts w:ascii="Arial" w:hAnsi="Arial" w:cs="Arial"/>
          <w:b/>
          <w:sz w:val="20"/>
        </w:rPr>
      </w:pPr>
    </w:p>
    <w:p w14:paraId="1A40873F" w14:textId="4E360F30" w:rsidR="00BC3417" w:rsidRDefault="008F4FEF" w:rsidP="008F4FEF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  <w:r w:rsidRPr="008F4FEF">
        <w:rPr>
          <w:rFonts w:ascii="Arial" w:hAnsi="Arial" w:cs="Arial"/>
          <w:b/>
          <w:color w:val="000000" w:themeColor="text1"/>
          <w:sz w:val="20"/>
        </w:rPr>
        <w:t xml:space="preserve">TECNOLOGIE PER </w:t>
      </w:r>
      <w:r w:rsidR="00FD434E">
        <w:rPr>
          <w:rFonts w:ascii="Arial" w:hAnsi="Arial" w:cs="Arial"/>
          <w:b/>
          <w:color w:val="000000" w:themeColor="text1"/>
          <w:sz w:val="20"/>
        </w:rPr>
        <w:t>L’INDUSTRIA DEL</w:t>
      </w:r>
      <w:r w:rsidRPr="008F4FEF">
        <w:rPr>
          <w:rFonts w:ascii="Arial" w:hAnsi="Arial" w:cs="Arial"/>
          <w:b/>
          <w:color w:val="000000" w:themeColor="text1"/>
          <w:sz w:val="20"/>
        </w:rPr>
        <w:t xml:space="preserve"> LEGNO</w:t>
      </w:r>
      <w:r w:rsidR="00FD434E">
        <w:rPr>
          <w:rFonts w:ascii="Arial" w:hAnsi="Arial" w:cs="Arial"/>
          <w:b/>
          <w:color w:val="000000" w:themeColor="text1"/>
          <w:sz w:val="20"/>
        </w:rPr>
        <w:t xml:space="preserve"> E DEL MOBILE</w:t>
      </w:r>
      <w:r>
        <w:rPr>
          <w:rFonts w:ascii="Arial" w:hAnsi="Arial" w:cs="Arial"/>
          <w:b/>
          <w:color w:val="000000" w:themeColor="text1"/>
          <w:sz w:val="20"/>
        </w:rPr>
        <w:t xml:space="preserve">: </w:t>
      </w:r>
      <w:r w:rsidR="002A632E">
        <w:rPr>
          <w:rFonts w:ascii="Arial" w:hAnsi="Arial" w:cs="Arial"/>
          <w:b/>
          <w:color w:val="000000" w:themeColor="text1"/>
          <w:sz w:val="20"/>
        </w:rPr>
        <w:t>UN BRILLANTE</w:t>
      </w:r>
      <w:r w:rsidR="000E4BEE">
        <w:rPr>
          <w:rFonts w:ascii="Arial" w:hAnsi="Arial" w:cs="Arial"/>
          <w:b/>
          <w:color w:val="000000" w:themeColor="text1"/>
          <w:sz w:val="20"/>
        </w:rPr>
        <w:t xml:space="preserve"> 202</w:t>
      </w:r>
      <w:r w:rsidR="002A632E">
        <w:rPr>
          <w:rFonts w:ascii="Arial" w:hAnsi="Arial" w:cs="Arial"/>
          <w:b/>
          <w:color w:val="000000" w:themeColor="text1"/>
          <w:sz w:val="20"/>
        </w:rPr>
        <w:t>1</w:t>
      </w:r>
      <w:r w:rsidR="0088052D">
        <w:rPr>
          <w:rFonts w:ascii="Arial" w:hAnsi="Arial" w:cs="Arial"/>
          <w:b/>
          <w:color w:val="000000" w:themeColor="text1"/>
          <w:sz w:val="20"/>
        </w:rPr>
        <w:t xml:space="preserve"> </w:t>
      </w:r>
    </w:p>
    <w:p w14:paraId="7C63C18B" w14:textId="1499E318" w:rsidR="007E06BB" w:rsidRDefault="007E06BB" w:rsidP="00D10A5D">
      <w:pPr>
        <w:tabs>
          <w:tab w:val="left" w:pos="142"/>
        </w:tabs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6EA9B94D" w14:textId="77777777" w:rsidR="001670C8" w:rsidRPr="008F4FEF" w:rsidRDefault="001670C8" w:rsidP="008F4FEF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734D89D4" w14:textId="77777777" w:rsidR="00EF3187" w:rsidRPr="005D6F46" w:rsidRDefault="00EF3187" w:rsidP="000A33AA">
      <w:pPr>
        <w:tabs>
          <w:tab w:val="left" w:pos="142"/>
          <w:tab w:val="left" w:pos="426"/>
        </w:tabs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64AE4EB5" w14:textId="37065808" w:rsidR="002A632E" w:rsidRDefault="002A632E" w:rsidP="002A632E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Il </w:t>
      </w:r>
      <w:r w:rsidRPr="00A31A41">
        <w:rPr>
          <w:rFonts w:ascii="Arial" w:hAnsi="Arial" w:cs="Arial"/>
          <w:b/>
          <w:color w:val="000000" w:themeColor="text1"/>
          <w:sz w:val="20"/>
        </w:rPr>
        <w:t>2021</w:t>
      </w:r>
      <w:r>
        <w:rPr>
          <w:rFonts w:ascii="Arial" w:hAnsi="Arial" w:cs="Arial"/>
          <w:color w:val="000000" w:themeColor="text1"/>
          <w:sz w:val="20"/>
        </w:rPr>
        <w:t xml:space="preserve"> è stato </w:t>
      </w:r>
      <w:r w:rsidRPr="002A632E">
        <w:rPr>
          <w:rFonts w:ascii="Arial" w:hAnsi="Arial" w:cs="Arial"/>
          <w:b/>
          <w:color w:val="000000" w:themeColor="text1"/>
          <w:sz w:val="20"/>
        </w:rPr>
        <w:t>un anno decisamente positivo</w:t>
      </w:r>
      <w:r>
        <w:rPr>
          <w:rFonts w:ascii="Arial" w:hAnsi="Arial" w:cs="Arial"/>
          <w:color w:val="000000" w:themeColor="text1"/>
          <w:sz w:val="20"/>
        </w:rPr>
        <w:t xml:space="preserve">. Lo ribadisce il consuntivo elaborato dall’Ufficio studi di </w:t>
      </w:r>
      <w:proofErr w:type="spellStart"/>
      <w:r>
        <w:rPr>
          <w:rFonts w:ascii="Arial" w:hAnsi="Arial" w:cs="Arial"/>
          <w:color w:val="000000" w:themeColor="text1"/>
          <w:sz w:val="20"/>
        </w:rPr>
        <w:t>Ac</w:t>
      </w:r>
      <w:r w:rsidR="00FD434E">
        <w:rPr>
          <w:rFonts w:ascii="Arial" w:hAnsi="Arial" w:cs="Arial"/>
          <w:color w:val="000000" w:themeColor="text1"/>
          <w:sz w:val="20"/>
        </w:rPr>
        <w:t>i</w:t>
      </w:r>
      <w:r>
        <w:rPr>
          <w:rFonts w:ascii="Arial" w:hAnsi="Arial" w:cs="Arial"/>
          <w:color w:val="000000" w:themeColor="text1"/>
          <w:sz w:val="20"/>
        </w:rPr>
        <w:t>mall</w:t>
      </w:r>
      <w:proofErr w:type="spellEnd"/>
      <w:r>
        <w:rPr>
          <w:rFonts w:ascii="Arial" w:hAnsi="Arial" w:cs="Arial"/>
          <w:color w:val="000000" w:themeColor="text1"/>
          <w:sz w:val="20"/>
        </w:rPr>
        <w:t>, l’associazione che riunisce i costruttori italiani di tecnologie per l’industria del legno e del mobile, da</w:t>
      </w:r>
      <w:r w:rsidR="00FD434E">
        <w:rPr>
          <w:rFonts w:ascii="Arial" w:hAnsi="Arial" w:cs="Arial"/>
          <w:color w:val="000000" w:themeColor="text1"/>
          <w:sz w:val="20"/>
        </w:rPr>
        <w:t>l</w:t>
      </w:r>
      <w:r>
        <w:rPr>
          <w:rFonts w:ascii="Arial" w:hAnsi="Arial" w:cs="Arial"/>
          <w:color w:val="000000" w:themeColor="text1"/>
          <w:sz w:val="20"/>
        </w:rPr>
        <w:t xml:space="preserve"> qual</w:t>
      </w:r>
      <w:r w:rsidR="00FD434E">
        <w:rPr>
          <w:rFonts w:ascii="Arial" w:hAnsi="Arial" w:cs="Arial"/>
          <w:color w:val="000000" w:themeColor="text1"/>
          <w:sz w:val="20"/>
        </w:rPr>
        <w:t>e</w:t>
      </w:r>
      <w:r>
        <w:rPr>
          <w:rFonts w:ascii="Arial" w:hAnsi="Arial" w:cs="Arial"/>
          <w:color w:val="000000" w:themeColor="text1"/>
          <w:sz w:val="20"/>
        </w:rPr>
        <w:t xml:space="preserve"> emerge che la </w:t>
      </w:r>
      <w:r w:rsidRPr="002A632E">
        <w:rPr>
          <w:rFonts w:ascii="Arial" w:hAnsi="Arial" w:cs="Arial"/>
          <w:b/>
          <w:color w:val="000000" w:themeColor="text1"/>
          <w:sz w:val="20"/>
        </w:rPr>
        <w:t>produzione</w:t>
      </w:r>
      <w:r>
        <w:rPr>
          <w:rFonts w:ascii="Arial" w:hAnsi="Arial" w:cs="Arial"/>
          <w:color w:val="000000" w:themeColor="text1"/>
          <w:sz w:val="20"/>
        </w:rPr>
        <w:t xml:space="preserve"> si è attestata a 2.530 milioni di euro, </w:t>
      </w:r>
      <w:r w:rsidR="00A31A41">
        <w:rPr>
          <w:rFonts w:ascii="Arial" w:hAnsi="Arial" w:cs="Arial"/>
          <w:color w:val="000000" w:themeColor="text1"/>
          <w:sz w:val="20"/>
        </w:rPr>
        <w:t xml:space="preserve">con una crescita del 36,9 per cento sul </w:t>
      </w:r>
      <w:r w:rsidR="00A31A41" w:rsidRPr="00A31A41">
        <w:rPr>
          <w:rFonts w:ascii="Arial" w:hAnsi="Arial" w:cs="Arial"/>
          <w:b/>
          <w:color w:val="000000" w:themeColor="text1"/>
          <w:sz w:val="20"/>
        </w:rPr>
        <w:t>2020</w:t>
      </w:r>
      <w:r w:rsidR="00A31A41">
        <w:rPr>
          <w:rFonts w:ascii="Arial" w:hAnsi="Arial" w:cs="Arial"/>
          <w:color w:val="000000" w:themeColor="text1"/>
          <w:sz w:val="20"/>
        </w:rPr>
        <w:t>, anno da dimenticare per tante ragioni e purtroppo non solo economiche, e de</w:t>
      </w:r>
      <w:r>
        <w:rPr>
          <w:rFonts w:ascii="Arial" w:hAnsi="Arial" w:cs="Arial"/>
          <w:color w:val="000000" w:themeColor="text1"/>
          <w:sz w:val="20"/>
        </w:rPr>
        <w:t>ll’1</w:t>
      </w:r>
      <w:r w:rsidR="00A31A41">
        <w:rPr>
          <w:rFonts w:ascii="Arial" w:hAnsi="Arial" w:cs="Arial"/>
          <w:color w:val="000000" w:themeColor="text1"/>
          <w:sz w:val="20"/>
        </w:rPr>
        <w:t xml:space="preserve">1,6 per cento rispetto al </w:t>
      </w:r>
      <w:r w:rsidR="00A31A41" w:rsidRPr="00A31A41">
        <w:rPr>
          <w:rFonts w:ascii="Arial" w:hAnsi="Arial" w:cs="Arial"/>
          <w:b/>
          <w:color w:val="000000" w:themeColor="text1"/>
          <w:sz w:val="20"/>
        </w:rPr>
        <w:t>2019</w:t>
      </w:r>
      <w:r>
        <w:rPr>
          <w:rFonts w:ascii="Arial" w:hAnsi="Arial" w:cs="Arial"/>
          <w:color w:val="000000" w:themeColor="text1"/>
          <w:sz w:val="20"/>
        </w:rPr>
        <w:t>.</w:t>
      </w:r>
    </w:p>
    <w:p w14:paraId="2F39544A" w14:textId="4F570FFF" w:rsidR="002A632E" w:rsidRDefault="002A632E" w:rsidP="002A632E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Molto bene anche </w:t>
      </w:r>
      <w:r w:rsidRPr="002A632E">
        <w:rPr>
          <w:rFonts w:ascii="Arial" w:hAnsi="Arial" w:cs="Arial"/>
          <w:color w:val="000000" w:themeColor="text1"/>
          <w:sz w:val="20"/>
        </w:rPr>
        <w:t>le</w:t>
      </w:r>
      <w:r>
        <w:rPr>
          <w:rFonts w:ascii="Arial" w:hAnsi="Arial" w:cs="Arial"/>
          <w:b/>
          <w:color w:val="000000" w:themeColor="text1"/>
          <w:sz w:val="20"/>
        </w:rPr>
        <w:t xml:space="preserve"> esportazioni</w:t>
      </w:r>
      <w:r>
        <w:rPr>
          <w:rFonts w:ascii="Arial" w:hAnsi="Arial" w:cs="Arial"/>
          <w:color w:val="000000" w:themeColor="text1"/>
          <w:sz w:val="20"/>
        </w:rPr>
        <w:t>, che raggiungono i 1.740 milioni di euro (più 30,8 per cento sul 2020</w:t>
      </w:r>
      <w:r w:rsidR="00A31A41">
        <w:rPr>
          <w:rFonts w:ascii="Arial" w:hAnsi="Arial" w:cs="Arial"/>
          <w:color w:val="000000" w:themeColor="text1"/>
          <w:sz w:val="20"/>
        </w:rPr>
        <w:t>; più 10,1 per cento sul 2019</w:t>
      </w:r>
      <w:r>
        <w:rPr>
          <w:rFonts w:ascii="Arial" w:hAnsi="Arial" w:cs="Arial"/>
          <w:color w:val="000000" w:themeColor="text1"/>
          <w:sz w:val="20"/>
        </w:rPr>
        <w:t xml:space="preserve">), con un </w:t>
      </w:r>
      <w:r w:rsidRPr="002A632E">
        <w:rPr>
          <w:rFonts w:ascii="Arial" w:hAnsi="Arial" w:cs="Arial"/>
          <w:b/>
          <w:color w:val="000000" w:themeColor="text1"/>
          <w:sz w:val="20"/>
        </w:rPr>
        <w:t>mercato interno</w:t>
      </w:r>
      <w:r>
        <w:rPr>
          <w:rFonts w:ascii="Arial" w:hAnsi="Arial" w:cs="Arial"/>
          <w:color w:val="000000" w:themeColor="text1"/>
          <w:sz w:val="20"/>
        </w:rPr>
        <w:t xml:space="preserve"> che mostra concreti segni di vitalità (790 milioni di </w:t>
      </w:r>
      <w:r w:rsidR="00DF2A1E">
        <w:rPr>
          <w:rFonts w:ascii="Arial" w:hAnsi="Arial" w:cs="Arial"/>
          <w:color w:val="000000" w:themeColor="text1"/>
          <w:sz w:val="20"/>
        </w:rPr>
        <w:t>euro;</w:t>
      </w:r>
      <w:r>
        <w:rPr>
          <w:rFonts w:ascii="Arial" w:hAnsi="Arial" w:cs="Arial"/>
          <w:color w:val="000000" w:themeColor="text1"/>
          <w:sz w:val="20"/>
        </w:rPr>
        <w:t xml:space="preserve"> più 52,5 per cento sul 2020</w:t>
      </w:r>
      <w:r w:rsidR="00A31A41">
        <w:rPr>
          <w:rFonts w:ascii="Arial" w:hAnsi="Arial" w:cs="Arial"/>
          <w:color w:val="000000" w:themeColor="text1"/>
          <w:sz w:val="20"/>
        </w:rPr>
        <w:t xml:space="preserve"> e più 15,1 per cento rispetto al 2019</w:t>
      </w:r>
      <w:r>
        <w:rPr>
          <w:rFonts w:ascii="Arial" w:hAnsi="Arial" w:cs="Arial"/>
          <w:color w:val="000000" w:themeColor="text1"/>
          <w:sz w:val="20"/>
        </w:rPr>
        <w:t>).</w:t>
      </w:r>
    </w:p>
    <w:p w14:paraId="62273677" w14:textId="024C02DF" w:rsidR="002A632E" w:rsidRDefault="002A632E" w:rsidP="002A632E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Cr</w:t>
      </w:r>
      <w:r w:rsidR="00DF2A1E">
        <w:rPr>
          <w:rFonts w:ascii="Arial" w:hAnsi="Arial" w:cs="Arial"/>
          <w:color w:val="000000" w:themeColor="text1"/>
          <w:sz w:val="20"/>
        </w:rPr>
        <w:t xml:space="preserve">escono anche le </w:t>
      </w:r>
      <w:r w:rsidR="00DF2A1E" w:rsidRPr="00DF2A1E">
        <w:rPr>
          <w:rFonts w:ascii="Arial" w:hAnsi="Arial" w:cs="Arial"/>
          <w:b/>
          <w:color w:val="000000" w:themeColor="text1"/>
          <w:sz w:val="20"/>
        </w:rPr>
        <w:t>importazioni</w:t>
      </w:r>
      <w:r w:rsidR="00DF2A1E">
        <w:rPr>
          <w:rFonts w:ascii="Arial" w:hAnsi="Arial" w:cs="Arial"/>
          <w:color w:val="000000" w:themeColor="text1"/>
          <w:sz w:val="20"/>
        </w:rPr>
        <w:t xml:space="preserve">, che si sono attestate a quota 244 milioni di euro, </w:t>
      </w:r>
      <w:r w:rsidR="00A31A41">
        <w:rPr>
          <w:rFonts w:ascii="Arial" w:hAnsi="Arial" w:cs="Arial"/>
          <w:color w:val="000000" w:themeColor="text1"/>
          <w:sz w:val="20"/>
        </w:rPr>
        <w:t xml:space="preserve">il 59,4 rispetto al 2020, </w:t>
      </w:r>
      <w:r w:rsidR="00DF2A1E">
        <w:rPr>
          <w:rFonts w:ascii="Arial" w:hAnsi="Arial" w:cs="Arial"/>
          <w:color w:val="000000" w:themeColor="text1"/>
          <w:sz w:val="20"/>
        </w:rPr>
        <w:t>il 21,4 pe</w:t>
      </w:r>
      <w:r w:rsidR="00A31A41">
        <w:rPr>
          <w:rFonts w:ascii="Arial" w:hAnsi="Arial" w:cs="Arial"/>
          <w:color w:val="000000" w:themeColor="text1"/>
          <w:sz w:val="20"/>
        </w:rPr>
        <w:t>r cento in più rispetto al 2019</w:t>
      </w:r>
      <w:r w:rsidR="00DF2A1E">
        <w:rPr>
          <w:rFonts w:ascii="Arial" w:hAnsi="Arial" w:cs="Arial"/>
          <w:color w:val="000000" w:themeColor="text1"/>
          <w:sz w:val="20"/>
        </w:rPr>
        <w:t>.</w:t>
      </w:r>
    </w:p>
    <w:p w14:paraId="616486EA" w14:textId="4B1F56CA" w:rsidR="00DF2A1E" w:rsidRDefault="00FD434E" w:rsidP="00FD434E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Dato positivo –</w:t>
      </w:r>
      <w:r w:rsidR="00DF2A1E">
        <w:rPr>
          <w:rFonts w:ascii="Arial" w:hAnsi="Arial" w:cs="Arial"/>
          <w:color w:val="000000" w:themeColor="text1"/>
          <w:sz w:val="20"/>
        </w:rPr>
        <w:t xml:space="preserve"> come tradizione,</w:t>
      </w:r>
      <w:r>
        <w:rPr>
          <w:rFonts w:ascii="Arial" w:hAnsi="Arial" w:cs="Arial"/>
          <w:color w:val="000000" w:themeColor="text1"/>
          <w:sz w:val="20"/>
        </w:rPr>
        <w:t xml:space="preserve"> alla luce della fortissima propensione all’export delle aziende italiane </w:t>
      </w:r>
      <w:proofErr w:type="gramStart"/>
      <w:r>
        <w:rPr>
          <w:rFonts w:ascii="Arial" w:hAnsi="Arial" w:cs="Arial"/>
          <w:color w:val="000000" w:themeColor="text1"/>
          <w:sz w:val="20"/>
        </w:rPr>
        <w:t xml:space="preserve">– </w:t>
      </w:r>
      <w:r w:rsidR="00DF2A1E">
        <w:rPr>
          <w:rFonts w:ascii="Arial" w:hAnsi="Arial" w:cs="Arial"/>
          <w:color w:val="000000" w:themeColor="text1"/>
          <w:sz w:val="20"/>
        </w:rPr>
        <w:t xml:space="preserve"> anche</w:t>
      </w:r>
      <w:proofErr w:type="gramEnd"/>
      <w:r w:rsidR="00DF2A1E">
        <w:rPr>
          <w:rFonts w:ascii="Arial" w:hAnsi="Arial" w:cs="Arial"/>
          <w:color w:val="000000" w:themeColor="text1"/>
          <w:sz w:val="20"/>
        </w:rPr>
        <w:t xml:space="preserve"> per la </w:t>
      </w:r>
      <w:r w:rsidR="00DF2A1E" w:rsidRPr="00DF2A1E">
        <w:rPr>
          <w:rFonts w:ascii="Arial" w:hAnsi="Arial" w:cs="Arial"/>
          <w:b/>
          <w:color w:val="000000" w:themeColor="text1"/>
          <w:sz w:val="20"/>
        </w:rPr>
        <w:t>bilancia commerciale</w:t>
      </w:r>
      <w:r w:rsidR="00DF2A1E">
        <w:rPr>
          <w:rFonts w:ascii="Arial" w:hAnsi="Arial" w:cs="Arial"/>
          <w:color w:val="000000" w:themeColor="text1"/>
          <w:sz w:val="20"/>
        </w:rPr>
        <w:t xml:space="preserve">, che è pari a 1.496 milioni di euro (più </w:t>
      </w:r>
      <w:r w:rsidR="00A31A41">
        <w:rPr>
          <w:rFonts w:ascii="Arial" w:hAnsi="Arial" w:cs="Arial"/>
          <w:color w:val="000000" w:themeColor="text1"/>
          <w:sz w:val="20"/>
        </w:rPr>
        <w:t xml:space="preserve">27,1 per cento sul 2020, più </w:t>
      </w:r>
      <w:r w:rsidR="00DF2A1E">
        <w:rPr>
          <w:rFonts w:ascii="Arial" w:hAnsi="Arial" w:cs="Arial"/>
          <w:color w:val="000000" w:themeColor="text1"/>
          <w:sz w:val="20"/>
        </w:rPr>
        <w:t>8,5 per cento sul 2019, più).</w:t>
      </w:r>
      <w:r>
        <w:rPr>
          <w:rFonts w:ascii="Arial" w:hAnsi="Arial" w:cs="Arial"/>
          <w:color w:val="000000" w:themeColor="text1"/>
          <w:sz w:val="20"/>
        </w:rPr>
        <w:t xml:space="preserve"> </w:t>
      </w:r>
      <w:r w:rsidR="00DF2A1E">
        <w:rPr>
          <w:rFonts w:ascii="Arial" w:hAnsi="Arial" w:cs="Arial"/>
          <w:color w:val="000000" w:themeColor="text1"/>
          <w:sz w:val="20"/>
        </w:rPr>
        <w:t xml:space="preserve">In aumento anche il </w:t>
      </w:r>
      <w:r w:rsidR="00DF2A1E" w:rsidRPr="00FD434E">
        <w:rPr>
          <w:rFonts w:ascii="Arial" w:hAnsi="Arial" w:cs="Arial"/>
          <w:b/>
          <w:color w:val="000000" w:themeColor="text1"/>
          <w:sz w:val="20"/>
        </w:rPr>
        <w:t>consumo apparente</w:t>
      </w:r>
      <w:r w:rsidR="00DF2A1E">
        <w:rPr>
          <w:rFonts w:ascii="Arial" w:hAnsi="Arial" w:cs="Arial"/>
          <w:color w:val="000000" w:themeColor="text1"/>
          <w:sz w:val="20"/>
        </w:rPr>
        <w:t xml:space="preserve">: 1.034 milioni di euro, </w:t>
      </w:r>
      <w:r>
        <w:rPr>
          <w:rFonts w:ascii="Arial" w:hAnsi="Arial" w:cs="Arial"/>
          <w:color w:val="000000" w:themeColor="text1"/>
          <w:sz w:val="20"/>
        </w:rPr>
        <w:t>più 54,1 per cento sul 2020</w:t>
      </w:r>
      <w:r w:rsidR="00A31A41">
        <w:rPr>
          <w:rFonts w:ascii="Arial" w:hAnsi="Arial" w:cs="Arial"/>
          <w:color w:val="000000" w:themeColor="text1"/>
          <w:sz w:val="20"/>
        </w:rPr>
        <w:t xml:space="preserve"> e più 16,5 per cento rispetto al 2019.</w:t>
      </w:r>
    </w:p>
    <w:p w14:paraId="136B1619" w14:textId="77777777" w:rsidR="00FF7EFD" w:rsidRDefault="00FF7EFD" w:rsidP="002A632E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</w:p>
    <w:p w14:paraId="6FFF7E85" w14:textId="77777777" w:rsidR="00720B7D" w:rsidRDefault="00FF7EFD" w:rsidP="002A632E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  <w:r w:rsidRPr="00FF7EFD">
        <w:rPr>
          <w:rFonts w:ascii="Arial" w:hAnsi="Arial" w:cs="Arial"/>
          <w:i/>
          <w:color w:val="000000" w:themeColor="text1"/>
          <w:sz w:val="20"/>
        </w:rPr>
        <w:t xml:space="preserve">“I dati 2021 parlano chiaro e dimostrano come il settore delle tecnologie abbia </w:t>
      </w:r>
      <w:r w:rsidR="00FD434E">
        <w:rPr>
          <w:rFonts w:ascii="Arial" w:hAnsi="Arial" w:cs="Arial"/>
          <w:i/>
          <w:color w:val="000000" w:themeColor="text1"/>
          <w:sz w:val="20"/>
        </w:rPr>
        <w:t xml:space="preserve">di fatto </w:t>
      </w:r>
      <w:r w:rsidRPr="00FF7EFD">
        <w:rPr>
          <w:rFonts w:ascii="Arial" w:hAnsi="Arial" w:cs="Arial"/>
          <w:i/>
          <w:color w:val="000000" w:themeColor="text1"/>
          <w:sz w:val="20"/>
        </w:rPr>
        <w:t>superato questo biennio di gravi difficoltà</w:t>
      </w:r>
      <w:r w:rsidR="00FD434E">
        <w:rPr>
          <w:rFonts w:ascii="Arial" w:hAnsi="Arial" w:cs="Arial"/>
          <w:i/>
          <w:color w:val="000000" w:themeColor="text1"/>
          <w:sz w:val="20"/>
        </w:rPr>
        <w:t>,</w:t>
      </w:r>
      <w:r w:rsidRPr="00FF7EFD">
        <w:rPr>
          <w:rFonts w:ascii="Arial" w:hAnsi="Arial" w:cs="Arial"/>
          <w:i/>
          <w:color w:val="000000" w:themeColor="text1"/>
          <w:sz w:val="20"/>
        </w:rPr>
        <w:t xml:space="preserve"> tornando ai dati </w:t>
      </w:r>
      <w:proofErr w:type="spellStart"/>
      <w:r w:rsidRPr="00FF7EFD">
        <w:rPr>
          <w:rFonts w:ascii="Arial" w:hAnsi="Arial" w:cs="Arial"/>
          <w:i/>
          <w:color w:val="000000" w:themeColor="text1"/>
          <w:sz w:val="20"/>
        </w:rPr>
        <w:t>pre</w:t>
      </w:r>
      <w:proofErr w:type="spellEnd"/>
      <w:r w:rsidRPr="00FF7EFD">
        <w:rPr>
          <w:rFonts w:ascii="Arial" w:hAnsi="Arial" w:cs="Arial"/>
          <w:i/>
          <w:color w:val="000000" w:themeColor="text1"/>
          <w:sz w:val="20"/>
        </w:rPr>
        <w:t>-covid”,</w:t>
      </w:r>
      <w:r>
        <w:rPr>
          <w:rFonts w:ascii="Arial" w:hAnsi="Arial" w:cs="Arial"/>
          <w:color w:val="000000" w:themeColor="text1"/>
          <w:sz w:val="20"/>
        </w:rPr>
        <w:t xml:space="preserve"> ha commentato </w:t>
      </w:r>
      <w:r w:rsidRPr="00FF7EFD">
        <w:rPr>
          <w:rFonts w:ascii="Arial" w:hAnsi="Arial" w:cs="Arial"/>
          <w:b/>
          <w:color w:val="000000" w:themeColor="text1"/>
          <w:sz w:val="20"/>
        </w:rPr>
        <w:t>Dario Corbetta</w:t>
      </w:r>
      <w:r>
        <w:rPr>
          <w:rFonts w:ascii="Arial" w:hAnsi="Arial" w:cs="Arial"/>
          <w:color w:val="000000" w:themeColor="text1"/>
          <w:sz w:val="20"/>
        </w:rPr>
        <w:t xml:space="preserve">, direttore di </w:t>
      </w:r>
      <w:proofErr w:type="spellStart"/>
      <w:r>
        <w:rPr>
          <w:rFonts w:ascii="Arial" w:hAnsi="Arial" w:cs="Arial"/>
          <w:color w:val="000000" w:themeColor="text1"/>
          <w:sz w:val="20"/>
        </w:rPr>
        <w:t>Acimall</w:t>
      </w:r>
      <w:proofErr w:type="spellEnd"/>
      <w:r>
        <w:rPr>
          <w:rFonts w:ascii="Arial" w:hAnsi="Arial" w:cs="Arial"/>
          <w:color w:val="000000" w:themeColor="text1"/>
          <w:sz w:val="20"/>
        </w:rPr>
        <w:t xml:space="preserve">. </w:t>
      </w:r>
      <w:r w:rsidRPr="00B07D0B">
        <w:rPr>
          <w:rFonts w:ascii="Arial" w:hAnsi="Arial" w:cs="Arial"/>
          <w:i/>
          <w:color w:val="000000" w:themeColor="text1"/>
          <w:sz w:val="20"/>
        </w:rPr>
        <w:t xml:space="preserve">“Gli incentivi </w:t>
      </w:r>
      <w:r w:rsidR="00992E35" w:rsidRPr="00B07D0B">
        <w:rPr>
          <w:rFonts w:ascii="Arial" w:hAnsi="Arial" w:cs="Arial"/>
          <w:i/>
          <w:color w:val="000000" w:themeColor="text1"/>
          <w:sz w:val="20"/>
        </w:rPr>
        <w:t xml:space="preserve">statali </w:t>
      </w:r>
      <w:r w:rsidRPr="00B07D0B">
        <w:rPr>
          <w:rFonts w:ascii="Arial" w:hAnsi="Arial" w:cs="Arial"/>
          <w:i/>
          <w:color w:val="000000" w:themeColor="text1"/>
          <w:sz w:val="20"/>
        </w:rPr>
        <w:t>hanno indubbiamente giocato un ruolo significativo</w:t>
      </w:r>
      <w:r w:rsidR="00FD434E" w:rsidRPr="00B07D0B">
        <w:rPr>
          <w:rFonts w:ascii="Arial" w:hAnsi="Arial" w:cs="Arial"/>
          <w:i/>
          <w:color w:val="000000" w:themeColor="text1"/>
          <w:sz w:val="20"/>
        </w:rPr>
        <w:t>,</w:t>
      </w:r>
      <w:r w:rsidRPr="00B07D0B">
        <w:rPr>
          <w:rFonts w:ascii="Arial" w:hAnsi="Arial" w:cs="Arial"/>
          <w:i/>
          <w:color w:val="000000" w:themeColor="text1"/>
          <w:sz w:val="20"/>
        </w:rPr>
        <w:t xml:space="preserve"> ma non </w:t>
      </w:r>
      <w:r w:rsidR="00FD434E" w:rsidRPr="00B07D0B">
        <w:rPr>
          <w:rFonts w:ascii="Arial" w:hAnsi="Arial" w:cs="Arial"/>
          <w:i/>
          <w:color w:val="000000" w:themeColor="text1"/>
          <w:sz w:val="20"/>
        </w:rPr>
        <w:t xml:space="preserve">hanno “snaturato” la tendenza del mercato: </w:t>
      </w:r>
      <w:r w:rsidRPr="00B07D0B">
        <w:rPr>
          <w:rFonts w:ascii="Arial" w:hAnsi="Arial" w:cs="Arial"/>
          <w:i/>
          <w:color w:val="000000" w:themeColor="text1"/>
          <w:sz w:val="20"/>
        </w:rPr>
        <w:t xml:space="preserve">la crescita </w:t>
      </w:r>
      <w:r w:rsidR="00992E35" w:rsidRPr="00B07D0B">
        <w:rPr>
          <w:rFonts w:ascii="Arial" w:hAnsi="Arial" w:cs="Arial"/>
          <w:i/>
          <w:color w:val="000000" w:themeColor="text1"/>
          <w:sz w:val="20"/>
        </w:rPr>
        <w:t>a cui stiamo assistendo</w:t>
      </w:r>
      <w:r w:rsidRPr="00B07D0B">
        <w:rPr>
          <w:rFonts w:ascii="Arial" w:hAnsi="Arial" w:cs="Arial"/>
          <w:i/>
          <w:color w:val="000000" w:themeColor="text1"/>
          <w:sz w:val="20"/>
        </w:rPr>
        <w:t xml:space="preserve"> si fo</w:t>
      </w:r>
      <w:r w:rsidR="00992E35" w:rsidRPr="00B07D0B">
        <w:rPr>
          <w:rFonts w:ascii="Arial" w:hAnsi="Arial" w:cs="Arial"/>
          <w:i/>
          <w:color w:val="000000" w:themeColor="text1"/>
          <w:sz w:val="20"/>
        </w:rPr>
        <w:t>nd</w:t>
      </w:r>
      <w:r w:rsidRPr="00B07D0B">
        <w:rPr>
          <w:rFonts w:ascii="Arial" w:hAnsi="Arial" w:cs="Arial"/>
          <w:i/>
          <w:color w:val="000000" w:themeColor="text1"/>
          <w:sz w:val="20"/>
        </w:rPr>
        <w:t xml:space="preserve">a </w:t>
      </w:r>
      <w:r w:rsidR="00992E35" w:rsidRPr="00B07D0B">
        <w:rPr>
          <w:rFonts w:ascii="Arial" w:hAnsi="Arial" w:cs="Arial"/>
          <w:i/>
          <w:color w:val="000000" w:themeColor="text1"/>
          <w:sz w:val="20"/>
        </w:rPr>
        <w:t>non solo</w:t>
      </w:r>
      <w:r w:rsidRPr="00B07D0B">
        <w:rPr>
          <w:rFonts w:ascii="Arial" w:hAnsi="Arial" w:cs="Arial"/>
          <w:i/>
          <w:color w:val="000000" w:themeColor="text1"/>
          <w:sz w:val="20"/>
        </w:rPr>
        <w:t xml:space="preserve"> sulla “componente incentivi”, </w:t>
      </w:r>
      <w:r w:rsidR="00992E35" w:rsidRPr="00B07D0B">
        <w:rPr>
          <w:rFonts w:ascii="Arial" w:hAnsi="Arial" w:cs="Arial"/>
          <w:i/>
          <w:color w:val="000000" w:themeColor="text1"/>
          <w:sz w:val="20"/>
        </w:rPr>
        <w:t>che ha più che altro determinato una concentrazione temporale delle decisioni di investimento, ma anche su un evidente rimbalzo strutturale, che ha riportato i</w:t>
      </w:r>
      <w:r w:rsidRPr="00B07D0B">
        <w:rPr>
          <w:rFonts w:ascii="Arial" w:hAnsi="Arial" w:cs="Arial"/>
          <w:i/>
          <w:color w:val="000000" w:themeColor="text1"/>
          <w:sz w:val="20"/>
        </w:rPr>
        <w:t xml:space="preserve">l mercato alle </w:t>
      </w:r>
      <w:r w:rsidR="00720B7D" w:rsidRPr="00B07D0B">
        <w:rPr>
          <w:rFonts w:ascii="Arial" w:hAnsi="Arial" w:cs="Arial"/>
          <w:i/>
          <w:color w:val="000000" w:themeColor="text1"/>
          <w:sz w:val="20"/>
        </w:rPr>
        <w:t>normali linee di sviluppo”.</w:t>
      </w:r>
    </w:p>
    <w:p w14:paraId="24C36028" w14:textId="7E12908D" w:rsidR="00720B7D" w:rsidRDefault="00720B7D" w:rsidP="002A632E">
      <w:pPr>
        <w:tabs>
          <w:tab w:val="left" w:pos="426"/>
        </w:tabs>
        <w:ind w:left="426"/>
        <w:rPr>
          <w:rFonts w:ascii="Arial" w:hAnsi="Arial" w:cs="Arial"/>
          <w:i/>
          <w:color w:val="000000" w:themeColor="text1"/>
          <w:sz w:val="20"/>
        </w:rPr>
      </w:pPr>
      <w:r>
        <w:rPr>
          <w:rFonts w:ascii="Arial" w:hAnsi="Arial" w:cs="Arial"/>
          <w:i/>
          <w:color w:val="000000" w:themeColor="text1"/>
          <w:sz w:val="20"/>
        </w:rPr>
        <w:t>“Ci sentiamo di tranquillizzare quanti temono che l’andamento attuale sia generato dagli incentivi disponibili e che una volta chiusa questa “finestra” ci troveremo davanti a un periodo di stagnazione della domanda”,</w:t>
      </w:r>
      <w:r w:rsidRPr="00782761">
        <w:rPr>
          <w:rFonts w:ascii="Arial" w:hAnsi="Arial" w:cs="Arial"/>
          <w:color w:val="000000" w:themeColor="text1"/>
          <w:sz w:val="20"/>
        </w:rPr>
        <w:t xml:space="preserve"> ha proseguito Corbetta. </w:t>
      </w:r>
      <w:r>
        <w:rPr>
          <w:rFonts w:ascii="Arial" w:hAnsi="Arial" w:cs="Arial"/>
          <w:i/>
          <w:color w:val="000000" w:themeColor="text1"/>
          <w:sz w:val="20"/>
        </w:rPr>
        <w:t>“Una convinzione sostenuta dai dati economici relativi ai primi mesi del 2022 c</w:t>
      </w:r>
      <w:r w:rsidR="00C313EC">
        <w:rPr>
          <w:rFonts w:ascii="Arial" w:hAnsi="Arial" w:cs="Arial"/>
          <w:i/>
          <w:color w:val="000000" w:themeColor="text1"/>
          <w:sz w:val="20"/>
        </w:rPr>
        <w:t>h</w:t>
      </w:r>
      <w:r>
        <w:rPr>
          <w:rFonts w:ascii="Arial" w:hAnsi="Arial" w:cs="Arial"/>
          <w:i/>
          <w:color w:val="000000" w:themeColor="text1"/>
          <w:sz w:val="20"/>
        </w:rPr>
        <w:t>e indicano chiaramente una crescita strutturale del settore, destinata a durare”.</w:t>
      </w:r>
    </w:p>
    <w:p w14:paraId="1ED48B97" w14:textId="77777777" w:rsidR="004E3E0D" w:rsidRPr="004E3E0D" w:rsidRDefault="004E3E0D" w:rsidP="002A632E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</w:p>
    <w:p w14:paraId="777DCF5D" w14:textId="77777777" w:rsidR="00720B7D" w:rsidRDefault="00720B7D" w:rsidP="002A632E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LE ESPORTAZIONI ITALIANE</w:t>
      </w:r>
    </w:p>
    <w:p w14:paraId="5F1238CE" w14:textId="77777777" w:rsidR="00635F6C" w:rsidRDefault="00720B7D" w:rsidP="00635F6C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I dati consolidati relativi al 2021 permettono anche qualche altra considerazione sulle </w:t>
      </w:r>
      <w:r w:rsidRPr="004E3F45">
        <w:rPr>
          <w:rFonts w:ascii="Arial" w:hAnsi="Arial" w:cs="Arial"/>
          <w:b/>
          <w:color w:val="000000" w:themeColor="text1"/>
          <w:sz w:val="20"/>
        </w:rPr>
        <w:t>esportazioni italiane</w:t>
      </w:r>
      <w:r>
        <w:rPr>
          <w:rFonts w:ascii="Arial" w:hAnsi="Arial" w:cs="Arial"/>
          <w:color w:val="000000" w:themeColor="text1"/>
          <w:sz w:val="20"/>
        </w:rPr>
        <w:t xml:space="preserve"> che, come abbiamo visto, sono complessivamente cresciute sia rispetto al 20</w:t>
      </w:r>
      <w:r w:rsidR="00B07D0B">
        <w:rPr>
          <w:rFonts w:ascii="Arial" w:hAnsi="Arial" w:cs="Arial"/>
          <w:color w:val="000000" w:themeColor="text1"/>
          <w:sz w:val="20"/>
        </w:rPr>
        <w:t>20</w:t>
      </w:r>
      <w:r>
        <w:rPr>
          <w:rFonts w:ascii="Arial" w:hAnsi="Arial" w:cs="Arial"/>
          <w:color w:val="000000" w:themeColor="text1"/>
          <w:sz w:val="20"/>
        </w:rPr>
        <w:t xml:space="preserve"> che al 20</w:t>
      </w:r>
      <w:r w:rsidR="00B07D0B">
        <w:rPr>
          <w:rFonts w:ascii="Arial" w:hAnsi="Arial" w:cs="Arial"/>
          <w:color w:val="000000" w:themeColor="text1"/>
          <w:sz w:val="20"/>
        </w:rPr>
        <w:t>19</w:t>
      </w:r>
      <w:r>
        <w:rPr>
          <w:rFonts w:ascii="Arial" w:hAnsi="Arial" w:cs="Arial"/>
          <w:color w:val="000000" w:themeColor="text1"/>
          <w:sz w:val="20"/>
        </w:rPr>
        <w:t xml:space="preserve">. Guardando alla attualità possiamo </w:t>
      </w:r>
      <w:r w:rsidR="004E3F45">
        <w:rPr>
          <w:rFonts w:ascii="Arial" w:hAnsi="Arial" w:cs="Arial"/>
          <w:color w:val="000000" w:themeColor="text1"/>
          <w:sz w:val="20"/>
        </w:rPr>
        <w:t xml:space="preserve">innanzitutto </w:t>
      </w:r>
      <w:r>
        <w:rPr>
          <w:rFonts w:ascii="Arial" w:hAnsi="Arial" w:cs="Arial"/>
          <w:color w:val="000000" w:themeColor="text1"/>
          <w:sz w:val="20"/>
        </w:rPr>
        <w:t>dire che la crisi russo-ucraina ha determina</w:t>
      </w:r>
      <w:r w:rsidR="00CF0739">
        <w:rPr>
          <w:rFonts w:ascii="Arial" w:hAnsi="Arial" w:cs="Arial"/>
          <w:color w:val="000000" w:themeColor="text1"/>
          <w:sz w:val="20"/>
        </w:rPr>
        <w:t>to</w:t>
      </w:r>
      <w:r>
        <w:rPr>
          <w:rFonts w:ascii="Arial" w:hAnsi="Arial" w:cs="Arial"/>
          <w:color w:val="000000" w:themeColor="text1"/>
          <w:sz w:val="20"/>
        </w:rPr>
        <w:t xml:space="preserve"> </w:t>
      </w:r>
      <w:r w:rsidR="00635F6C">
        <w:rPr>
          <w:rFonts w:ascii="Arial" w:hAnsi="Arial" w:cs="Arial"/>
          <w:color w:val="000000" w:themeColor="text1"/>
          <w:sz w:val="20"/>
        </w:rPr>
        <w:t xml:space="preserve">per ora </w:t>
      </w:r>
      <w:r>
        <w:rPr>
          <w:rFonts w:ascii="Arial" w:hAnsi="Arial" w:cs="Arial"/>
          <w:color w:val="000000" w:themeColor="text1"/>
          <w:sz w:val="20"/>
        </w:rPr>
        <w:t xml:space="preserve">una </w:t>
      </w:r>
      <w:r w:rsidR="00AF183E">
        <w:rPr>
          <w:rFonts w:ascii="Arial" w:hAnsi="Arial" w:cs="Arial"/>
          <w:color w:val="000000" w:themeColor="text1"/>
          <w:sz w:val="20"/>
        </w:rPr>
        <w:t xml:space="preserve">limitata </w:t>
      </w:r>
      <w:r>
        <w:rPr>
          <w:rFonts w:ascii="Arial" w:hAnsi="Arial" w:cs="Arial"/>
          <w:color w:val="000000" w:themeColor="text1"/>
          <w:sz w:val="20"/>
        </w:rPr>
        <w:t>contrazione delle nostre esportazioni</w:t>
      </w:r>
      <w:r w:rsidR="00635F6C">
        <w:rPr>
          <w:rFonts w:ascii="Arial" w:hAnsi="Arial" w:cs="Arial"/>
          <w:color w:val="000000" w:themeColor="text1"/>
          <w:sz w:val="20"/>
        </w:rPr>
        <w:t xml:space="preserve">. </w:t>
      </w:r>
      <w:r w:rsidRPr="00720B7D">
        <w:rPr>
          <w:rFonts w:ascii="Arial" w:hAnsi="Arial" w:cs="Arial"/>
          <w:b/>
          <w:color w:val="000000" w:themeColor="text1"/>
          <w:sz w:val="20"/>
        </w:rPr>
        <w:t>Russia</w:t>
      </w:r>
      <w:r>
        <w:rPr>
          <w:rFonts w:ascii="Arial" w:hAnsi="Arial" w:cs="Arial"/>
          <w:color w:val="000000" w:themeColor="text1"/>
          <w:sz w:val="20"/>
        </w:rPr>
        <w:t xml:space="preserve">, </w:t>
      </w:r>
      <w:r w:rsidRPr="004E3F45">
        <w:rPr>
          <w:rFonts w:ascii="Arial" w:hAnsi="Arial" w:cs="Arial"/>
          <w:b/>
          <w:color w:val="000000" w:themeColor="text1"/>
          <w:sz w:val="20"/>
        </w:rPr>
        <w:t>Ucraina</w:t>
      </w:r>
      <w:r>
        <w:rPr>
          <w:rFonts w:ascii="Arial" w:hAnsi="Arial" w:cs="Arial"/>
          <w:color w:val="000000" w:themeColor="text1"/>
          <w:sz w:val="20"/>
        </w:rPr>
        <w:t xml:space="preserve"> e </w:t>
      </w:r>
      <w:r w:rsidRPr="004E3F45">
        <w:rPr>
          <w:rFonts w:ascii="Arial" w:hAnsi="Arial" w:cs="Arial"/>
          <w:b/>
          <w:color w:val="000000" w:themeColor="text1"/>
          <w:sz w:val="20"/>
        </w:rPr>
        <w:t>Bielorussia</w:t>
      </w:r>
      <w:r w:rsidR="00635F6C">
        <w:rPr>
          <w:rFonts w:ascii="Arial" w:hAnsi="Arial" w:cs="Arial"/>
          <w:color w:val="000000" w:themeColor="text1"/>
          <w:sz w:val="20"/>
        </w:rPr>
        <w:t xml:space="preserve"> assorbono, complessivamente, una quota limitata delle nostre esportazioni, valutabile attorno al 5 per cento del totale; esportazioni che peraltro sembrano proseguire, pur con un sensibile rallentamento. </w:t>
      </w:r>
    </w:p>
    <w:p w14:paraId="68C0BB92" w14:textId="7AAFC1B0" w:rsidR="004E3F45" w:rsidRDefault="00AF183E" w:rsidP="00635F6C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Da segnalare che </w:t>
      </w:r>
      <w:r w:rsidR="00635F6C">
        <w:rPr>
          <w:rFonts w:ascii="Arial" w:hAnsi="Arial" w:cs="Arial"/>
          <w:color w:val="000000" w:themeColor="text1"/>
          <w:sz w:val="20"/>
        </w:rPr>
        <w:t>molte delle macchine per la lavorazione del legno</w:t>
      </w:r>
      <w:r>
        <w:rPr>
          <w:rFonts w:ascii="Arial" w:hAnsi="Arial" w:cs="Arial"/>
          <w:color w:val="000000" w:themeColor="text1"/>
          <w:sz w:val="20"/>
        </w:rPr>
        <w:t xml:space="preserve"> – non rientrando nella categoria “Dual Use”, dunque utilizzabili anche per la produzione di materiale bellico – non </w:t>
      </w:r>
      <w:r w:rsidR="00635F6C">
        <w:rPr>
          <w:rFonts w:ascii="Arial" w:hAnsi="Arial" w:cs="Arial"/>
          <w:color w:val="000000" w:themeColor="text1"/>
          <w:sz w:val="20"/>
        </w:rPr>
        <w:t>sono</w:t>
      </w:r>
      <w:r>
        <w:rPr>
          <w:rFonts w:ascii="Arial" w:hAnsi="Arial" w:cs="Arial"/>
          <w:color w:val="000000" w:themeColor="text1"/>
          <w:sz w:val="20"/>
        </w:rPr>
        <w:t xml:space="preserve"> interessate dall’embargo in atto</w:t>
      </w:r>
      <w:r w:rsidR="00635F6C">
        <w:rPr>
          <w:rFonts w:ascii="Arial" w:hAnsi="Arial" w:cs="Arial"/>
          <w:color w:val="000000" w:themeColor="text1"/>
          <w:sz w:val="20"/>
        </w:rPr>
        <w:t>, al contrario di tutte le parti di ricambio che ne sono invece colpite. Al momento</w:t>
      </w:r>
      <w:r>
        <w:rPr>
          <w:rFonts w:ascii="Arial" w:hAnsi="Arial" w:cs="Arial"/>
          <w:color w:val="000000" w:themeColor="text1"/>
          <w:sz w:val="20"/>
        </w:rPr>
        <w:t xml:space="preserve"> l’operatività bancaria, pur con qualche ostacolo, non ha subito interruzioni</w:t>
      </w:r>
      <w:r w:rsidR="00635F6C">
        <w:rPr>
          <w:rFonts w:ascii="Arial" w:hAnsi="Arial" w:cs="Arial"/>
          <w:color w:val="000000" w:themeColor="text1"/>
          <w:sz w:val="20"/>
        </w:rPr>
        <w:t>,</w:t>
      </w:r>
      <w:r>
        <w:rPr>
          <w:rFonts w:ascii="Arial" w:hAnsi="Arial" w:cs="Arial"/>
          <w:color w:val="000000" w:themeColor="text1"/>
          <w:sz w:val="20"/>
        </w:rPr>
        <w:t xml:space="preserve"> grazie agli istituti russi che possono continuare a operare.</w:t>
      </w:r>
    </w:p>
    <w:p w14:paraId="2FF1AA12" w14:textId="77777777" w:rsidR="004E3F45" w:rsidRDefault="004E3F45" w:rsidP="002A632E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</w:p>
    <w:p w14:paraId="584EFA94" w14:textId="4517BC9D" w:rsidR="00AF183E" w:rsidRDefault="00AF183E" w:rsidP="00AF183E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Venendo ai dati 2021 è possibile stilare una </w:t>
      </w:r>
      <w:r w:rsidRPr="00635F6C">
        <w:rPr>
          <w:rFonts w:ascii="Arial" w:hAnsi="Arial" w:cs="Arial"/>
          <w:b/>
          <w:color w:val="000000" w:themeColor="text1"/>
          <w:sz w:val="20"/>
        </w:rPr>
        <w:t>classifica dei Paesi</w:t>
      </w:r>
      <w:r>
        <w:rPr>
          <w:rFonts w:ascii="Arial" w:hAnsi="Arial" w:cs="Arial"/>
          <w:color w:val="000000" w:themeColor="text1"/>
          <w:sz w:val="20"/>
        </w:rPr>
        <w:t xml:space="preserve"> </w:t>
      </w:r>
      <w:r w:rsidR="003056E4">
        <w:rPr>
          <w:rFonts w:ascii="Arial" w:hAnsi="Arial" w:cs="Arial"/>
          <w:color w:val="000000" w:themeColor="text1"/>
          <w:sz w:val="20"/>
        </w:rPr>
        <w:t xml:space="preserve">più interessati alla tecnologia per il legno e il mobile </w:t>
      </w:r>
      <w:r>
        <w:rPr>
          <w:rFonts w:ascii="Arial" w:hAnsi="Arial" w:cs="Arial"/>
          <w:color w:val="000000" w:themeColor="text1"/>
          <w:sz w:val="20"/>
        </w:rPr>
        <w:t xml:space="preserve">“made in </w:t>
      </w:r>
      <w:proofErr w:type="spellStart"/>
      <w:r>
        <w:rPr>
          <w:rFonts w:ascii="Arial" w:hAnsi="Arial" w:cs="Arial"/>
          <w:color w:val="000000" w:themeColor="text1"/>
          <w:sz w:val="20"/>
        </w:rPr>
        <w:t>Italy</w:t>
      </w:r>
      <w:proofErr w:type="spellEnd"/>
      <w:r>
        <w:rPr>
          <w:rFonts w:ascii="Arial" w:hAnsi="Arial" w:cs="Arial"/>
          <w:color w:val="000000" w:themeColor="text1"/>
          <w:sz w:val="20"/>
        </w:rPr>
        <w:t xml:space="preserve">”. Una classifica che, a dire il vero, non mostra grandi sorprese, </w:t>
      </w:r>
      <w:r>
        <w:rPr>
          <w:rFonts w:ascii="Arial" w:hAnsi="Arial" w:cs="Arial"/>
          <w:color w:val="000000" w:themeColor="text1"/>
          <w:sz w:val="20"/>
        </w:rPr>
        <w:lastRenderedPageBreak/>
        <w:t>ribadendo ancora una volta la stabilità degli scenari in cui la</w:t>
      </w:r>
      <w:r w:rsidR="00782761">
        <w:rPr>
          <w:rFonts w:ascii="Arial" w:hAnsi="Arial" w:cs="Arial"/>
          <w:color w:val="000000" w:themeColor="text1"/>
          <w:sz w:val="20"/>
        </w:rPr>
        <w:t xml:space="preserve"> produzione italiana è particola</w:t>
      </w:r>
      <w:r>
        <w:rPr>
          <w:rFonts w:ascii="Arial" w:hAnsi="Arial" w:cs="Arial"/>
          <w:color w:val="000000" w:themeColor="text1"/>
          <w:sz w:val="20"/>
        </w:rPr>
        <w:t>rmente apprezzata.</w:t>
      </w:r>
    </w:p>
    <w:p w14:paraId="7075685A" w14:textId="65218982" w:rsidR="003056E4" w:rsidRDefault="00AF183E" w:rsidP="00AF183E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Fra questi al primo posto gli </w:t>
      </w:r>
      <w:r w:rsidR="00347155" w:rsidRPr="00347155">
        <w:rPr>
          <w:rFonts w:ascii="Arial" w:hAnsi="Arial" w:cs="Arial"/>
          <w:b/>
          <w:color w:val="000000" w:themeColor="text1"/>
          <w:sz w:val="20"/>
        </w:rPr>
        <w:t>Stati Uniti</w:t>
      </w:r>
      <w:r w:rsidR="00347155">
        <w:rPr>
          <w:rFonts w:ascii="Arial" w:hAnsi="Arial" w:cs="Arial"/>
          <w:color w:val="000000" w:themeColor="text1"/>
          <w:sz w:val="20"/>
        </w:rPr>
        <w:t xml:space="preserve"> (164,2 milioni di euro, più 13,9 per cento sul 2020), seguiti dalla </w:t>
      </w:r>
      <w:r w:rsidR="00347155" w:rsidRPr="00347155">
        <w:rPr>
          <w:rFonts w:ascii="Arial" w:hAnsi="Arial" w:cs="Arial"/>
          <w:b/>
          <w:color w:val="000000" w:themeColor="text1"/>
          <w:sz w:val="20"/>
        </w:rPr>
        <w:t>Francia</w:t>
      </w:r>
      <w:r w:rsidR="00347155">
        <w:rPr>
          <w:rFonts w:ascii="Arial" w:hAnsi="Arial" w:cs="Arial"/>
          <w:color w:val="000000" w:themeColor="text1"/>
          <w:sz w:val="20"/>
        </w:rPr>
        <w:t xml:space="preserve"> (118,2 milioni, più 10,3 per cento) e dalla </w:t>
      </w:r>
      <w:r w:rsidR="00347155" w:rsidRPr="00347155">
        <w:rPr>
          <w:rFonts w:ascii="Arial" w:hAnsi="Arial" w:cs="Arial"/>
          <w:b/>
          <w:color w:val="000000" w:themeColor="text1"/>
          <w:sz w:val="20"/>
        </w:rPr>
        <w:t>Polonia</w:t>
      </w:r>
      <w:r w:rsidR="00347155">
        <w:rPr>
          <w:rFonts w:ascii="Arial" w:hAnsi="Arial" w:cs="Arial"/>
          <w:color w:val="000000" w:themeColor="text1"/>
          <w:sz w:val="20"/>
        </w:rPr>
        <w:t xml:space="preserve"> (110,6 milioni di euro, più 34 per cento). La </w:t>
      </w:r>
      <w:r w:rsidR="00347155" w:rsidRPr="00347155">
        <w:rPr>
          <w:rFonts w:ascii="Arial" w:hAnsi="Arial" w:cs="Arial"/>
          <w:b/>
          <w:color w:val="000000" w:themeColor="text1"/>
          <w:sz w:val="20"/>
        </w:rPr>
        <w:t xml:space="preserve">Germania </w:t>
      </w:r>
      <w:r w:rsidR="00347155">
        <w:rPr>
          <w:rFonts w:ascii="Arial" w:hAnsi="Arial" w:cs="Arial"/>
          <w:color w:val="000000" w:themeColor="text1"/>
          <w:sz w:val="20"/>
        </w:rPr>
        <w:t xml:space="preserve">si colloca al quarto posto fra i nostri “Paesi clienti”, comperando macchine italiane per 106,3 milioni di euro, più 11 per cento rispetto al 2020. Seguono </w:t>
      </w:r>
      <w:r w:rsidR="00347155" w:rsidRPr="00347155">
        <w:rPr>
          <w:rFonts w:ascii="Arial" w:hAnsi="Arial" w:cs="Arial"/>
          <w:b/>
          <w:color w:val="000000" w:themeColor="text1"/>
          <w:sz w:val="20"/>
        </w:rPr>
        <w:t>Regno Unito</w:t>
      </w:r>
      <w:r w:rsidR="00347155">
        <w:rPr>
          <w:rFonts w:ascii="Arial" w:hAnsi="Arial" w:cs="Arial"/>
          <w:color w:val="000000" w:themeColor="text1"/>
          <w:sz w:val="20"/>
        </w:rPr>
        <w:t xml:space="preserve"> (81,3 milioni, più 56 per cento), </w:t>
      </w:r>
      <w:r w:rsidR="00347155" w:rsidRPr="00347155">
        <w:rPr>
          <w:rFonts w:ascii="Arial" w:hAnsi="Arial" w:cs="Arial"/>
          <w:b/>
          <w:color w:val="000000" w:themeColor="text1"/>
          <w:sz w:val="20"/>
        </w:rPr>
        <w:t>Spagna</w:t>
      </w:r>
      <w:r w:rsidR="00347155">
        <w:rPr>
          <w:rFonts w:ascii="Arial" w:hAnsi="Arial" w:cs="Arial"/>
          <w:color w:val="000000" w:themeColor="text1"/>
          <w:sz w:val="20"/>
        </w:rPr>
        <w:t xml:space="preserve"> (76,2 milioni, più 62,3 per cento), </w:t>
      </w:r>
      <w:r w:rsidR="00347155" w:rsidRPr="00347155">
        <w:rPr>
          <w:rFonts w:ascii="Arial" w:hAnsi="Arial" w:cs="Arial"/>
          <w:b/>
          <w:color w:val="000000" w:themeColor="text1"/>
          <w:sz w:val="20"/>
        </w:rPr>
        <w:t>Russia</w:t>
      </w:r>
      <w:r w:rsidR="00347155">
        <w:rPr>
          <w:rFonts w:ascii="Arial" w:hAnsi="Arial" w:cs="Arial"/>
          <w:color w:val="000000" w:themeColor="text1"/>
          <w:sz w:val="20"/>
        </w:rPr>
        <w:t xml:space="preserve"> (67,3 milioni, più 102,4 per cento) e </w:t>
      </w:r>
      <w:r w:rsidR="00347155" w:rsidRPr="00347155">
        <w:rPr>
          <w:rFonts w:ascii="Arial" w:hAnsi="Arial" w:cs="Arial"/>
          <w:b/>
          <w:color w:val="000000" w:themeColor="text1"/>
          <w:sz w:val="20"/>
        </w:rPr>
        <w:t>Cina</w:t>
      </w:r>
      <w:r w:rsidR="00347155">
        <w:rPr>
          <w:rFonts w:ascii="Arial" w:hAnsi="Arial" w:cs="Arial"/>
          <w:color w:val="000000" w:themeColor="text1"/>
          <w:sz w:val="20"/>
        </w:rPr>
        <w:t xml:space="preserve">, che realizza ordini in Italia per 60,1 milioni con una diminuzione – unico Paese della “top </w:t>
      </w:r>
      <w:proofErr w:type="spellStart"/>
      <w:r w:rsidR="00347155">
        <w:rPr>
          <w:rFonts w:ascii="Arial" w:hAnsi="Arial" w:cs="Arial"/>
          <w:color w:val="000000" w:themeColor="text1"/>
          <w:sz w:val="20"/>
        </w:rPr>
        <w:t>ten</w:t>
      </w:r>
      <w:proofErr w:type="spellEnd"/>
      <w:r w:rsidR="00347155">
        <w:rPr>
          <w:rFonts w:ascii="Arial" w:hAnsi="Arial" w:cs="Arial"/>
          <w:color w:val="000000" w:themeColor="text1"/>
          <w:sz w:val="20"/>
        </w:rPr>
        <w:t>” con un dato negativo</w:t>
      </w:r>
      <w:r w:rsidR="005A336D">
        <w:rPr>
          <w:rFonts w:ascii="Arial" w:hAnsi="Arial" w:cs="Arial"/>
          <w:color w:val="000000" w:themeColor="text1"/>
          <w:sz w:val="20"/>
        </w:rPr>
        <w:t xml:space="preserve"> nel 2021 – del 19 per cento</w:t>
      </w:r>
      <w:r w:rsidR="00347155">
        <w:rPr>
          <w:rFonts w:ascii="Arial" w:hAnsi="Arial" w:cs="Arial"/>
          <w:color w:val="000000" w:themeColor="text1"/>
          <w:sz w:val="20"/>
        </w:rPr>
        <w:t>.</w:t>
      </w:r>
    </w:p>
    <w:p w14:paraId="5C173D4F" w14:textId="41512196" w:rsidR="00347155" w:rsidRDefault="00347155" w:rsidP="002A632E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Chiudono la classifica il </w:t>
      </w:r>
      <w:r w:rsidRPr="00347155">
        <w:rPr>
          <w:rFonts w:ascii="Arial" w:hAnsi="Arial" w:cs="Arial"/>
          <w:b/>
          <w:color w:val="000000" w:themeColor="text1"/>
          <w:sz w:val="20"/>
        </w:rPr>
        <w:t>Belgio</w:t>
      </w:r>
      <w:r w:rsidR="00AF183E">
        <w:rPr>
          <w:rFonts w:ascii="Arial" w:hAnsi="Arial" w:cs="Arial"/>
          <w:color w:val="000000" w:themeColor="text1"/>
          <w:sz w:val="20"/>
        </w:rPr>
        <w:t xml:space="preserve"> (</w:t>
      </w:r>
      <w:r>
        <w:rPr>
          <w:rFonts w:ascii="Arial" w:hAnsi="Arial" w:cs="Arial"/>
          <w:color w:val="000000" w:themeColor="text1"/>
          <w:sz w:val="20"/>
        </w:rPr>
        <w:t>al nono posto con 56,6 mili</w:t>
      </w:r>
      <w:r w:rsidR="00AF183E">
        <w:rPr>
          <w:rFonts w:ascii="Arial" w:hAnsi="Arial" w:cs="Arial"/>
          <w:color w:val="000000" w:themeColor="text1"/>
          <w:sz w:val="20"/>
        </w:rPr>
        <w:t>oni di euro, più 18,4 per cento)</w:t>
      </w:r>
      <w:r>
        <w:rPr>
          <w:rFonts w:ascii="Arial" w:hAnsi="Arial" w:cs="Arial"/>
          <w:color w:val="000000" w:themeColor="text1"/>
          <w:sz w:val="20"/>
        </w:rPr>
        <w:t xml:space="preserve"> e l’</w:t>
      </w:r>
      <w:r w:rsidRPr="00347155">
        <w:rPr>
          <w:rFonts w:ascii="Arial" w:hAnsi="Arial" w:cs="Arial"/>
          <w:b/>
          <w:color w:val="000000" w:themeColor="text1"/>
          <w:sz w:val="20"/>
        </w:rPr>
        <w:t>Austria</w:t>
      </w:r>
      <w:r>
        <w:rPr>
          <w:rFonts w:ascii="Arial" w:hAnsi="Arial" w:cs="Arial"/>
          <w:color w:val="000000" w:themeColor="text1"/>
          <w:sz w:val="20"/>
        </w:rPr>
        <w:t xml:space="preserve"> (54,5 milioni, più 36,6 per cento).</w:t>
      </w:r>
    </w:p>
    <w:p w14:paraId="207ED932" w14:textId="77777777" w:rsidR="00AE006E" w:rsidRDefault="00AE006E" w:rsidP="002A632E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</w:p>
    <w:p w14:paraId="574D3239" w14:textId="6BF3DB1B" w:rsidR="00AF183E" w:rsidRDefault="00AF183E" w:rsidP="002A632E">
      <w:pPr>
        <w:tabs>
          <w:tab w:val="left" w:pos="426"/>
        </w:tabs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color w:val="000000" w:themeColor="text1"/>
          <w:sz w:val="20"/>
        </w:rPr>
        <w:t>In conclusione possiamo dire che tutto indica che il</w:t>
      </w:r>
      <w:r w:rsidR="00AE006E">
        <w:rPr>
          <w:rFonts w:ascii="Arial" w:hAnsi="Arial" w:cs="Arial"/>
          <w:color w:val="000000" w:themeColor="text1"/>
          <w:sz w:val="20"/>
        </w:rPr>
        <w:t xml:space="preserve"> trend </w:t>
      </w:r>
      <w:r>
        <w:rPr>
          <w:rFonts w:ascii="Arial" w:hAnsi="Arial" w:cs="Arial"/>
          <w:color w:val="000000" w:themeColor="text1"/>
          <w:sz w:val="20"/>
        </w:rPr>
        <w:t xml:space="preserve">positivo è destinato a </w:t>
      </w:r>
      <w:r w:rsidR="00AE006E">
        <w:rPr>
          <w:rFonts w:ascii="Arial" w:hAnsi="Arial" w:cs="Arial"/>
          <w:color w:val="000000" w:themeColor="text1"/>
          <w:sz w:val="20"/>
        </w:rPr>
        <w:t>proseguir</w:t>
      </w:r>
      <w:r>
        <w:rPr>
          <w:rFonts w:ascii="Arial" w:hAnsi="Arial" w:cs="Arial"/>
          <w:color w:val="000000" w:themeColor="text1"/>
          <w:sz w:val="20"/>
        </w:rPr>
        <w:t xml:space="preserve">e per l’anno in corso, anche se le difficoltà di approvvigionamento e gli interrogativi legati al conflitto russo-ucraino e all’andamento della pandemia mondiale di “Covid-19” potrebbero </w:t>
      </w:r>
      <w:r w:rsidR="00AE006E" w:rsidRPr="00FD434E">
        <w:rPr>
          <w:rFonts w:ascii="Arial" w:hAnsi="Arial" w:cs="Arial"/>
          <w:sz w:val="20"/>
        </w:rPr>
        <w:t>scombinare le carte</w:t>
      </w:r>
      <w:r>
        <w:rPr>
          <w:rFonts w:ascii="Arial" w:hAnsi="Arial" w:cs="Arial"/>
          <w:sz w:val="20"/>
        </w:rPr>
        <w:t>.</w:t>
      </w:r>
    </w:p>
    <w:p w14:paraId="2A921CB8" w14:textId="77777777" w:rsidR="00AF183E" w:rsidRDefault="00AF183E" w:rsidP="002A632E">
      <w:pPr>
        <w:tabs>
          <w:tab w:val="left" w:pos="426"/>
        </w:tabs>
        <w:ind w:left="426"/>
        <w:rPr>
          <w:rFonts w:ascii="Arial" w:hAnsi="Arial" w:cs="Arial"/>
          <w:sz w:val="20"/>
        </w:rPr>
      </w:pPr>
    </w:p>
    <w:p w14:paraId="3D5F0871" w14:textId="39266196" w:rsidR="00AE006E" w:rsidRPr="00FD434E" w:rsidRDefault="00AF183E" w:rsidP="002A632E">
      <w:pPr>
        <w:tabs>
          <w:tab w:val="left" w:pos="426"/>
        </w:tabs>
        <w:ind w:left="426"/>
        <w:rPr>
          <w:rFonts w:ascii="Arial" w:hAnsi="Arial" w:cs="Arial"/>
          <w:sz w:val="20"/>
        </w:rPr>
      </w:pPr>
      <w:r w:rsidRPr="00AF183E">
        <w:rPr>
          <w:rFonts w:ascii="Arial" w:hAnsi="Arial" w:cs="Arial"/>
          <w:i/>
          <w:sz w:val="20"/>
        </w:rPr>
        <w:t xml:space="preserve">“In attesa dell’appuntamento del prossimo ottobre con </w:t>
      </w:r>
      <w:r w:rsidRPr="00AF183E">
        <w:rPr>
          <w:rFonts w:ascii="Arial" w:hAnsi="Arial" w:cs="Arial"/>
          <w:b/>
          <w:i/>
          <w:sz w:val="20"/>
        </w:rPr>
        <w:t>Xylexpo</w:t>
      </w:r>
      <w:r>
        <w:rPr>
          <w:rFonts w:ascii="Arial" w:hAnsi="Arial" w:cs="Arial"/>
          <w:sz w:val="20"/>
        </w:rPr>
        <w:t xml:space="preserve"> – ha concluso Dario Corbetta – </w:t>
      </w:r>
      <w:r w:rsidRPr="00AF183E">
        <w:rPr>
          <w:rFonts w:ascii="Arial" w:hAnsi="Arial" w:cs="Arial"/>
          <w:i/>
          <w:sz w:val="20"/>
        </w:rPr>
        <w:t xml:space="preserve">che sarà indubbiamente un prezioso termometro </w:t>
      </w:r>
      <w:r w:rsidR="00AE006E" w:rsidRPr="00AF183E">
        <w:rPr>
          <w:rFonts w:ascii="Arial" w:hAnsi="Arial" w:cs="Arial"/>
          <w:i/>
          <w:sz w:val="20"/>
        </w:rPr>
        <w:t xml:space="preserve">per </w:t>
      </w:r>
      <w:r w:rsidRPr="00AF183E">
        <w:rPr>
          <w:rFonts w:ascii="Arial" w:hAnsi="Arial" w:cs="Arial"/>
          <w:i/>
          <w:sz w:val="20"/>
        </w:rPr>
        <w:t>verificare lo stato di salute del</w:t>
      </w:r>
      <w:r w:rsidR="00AE006E" w:rsidRPr="00AF183E">
        <w:rPr>
          <w:rFonts w:ascii="Arial" w:hAnsi="Arial" w:cs="Arial"/>
          <w:i/>
          <w:sz w:val="20"/>
        </w:rPr>
        <w:t xml:space="preserve"> nostro settore e </w:t>
      </w:r>
      <w:r w:rsidRPr="00AF183E">
        <w:rPr>
          <w:rFonts w:ascii="Arial" w:hAnsi="Arial" w:cs="Arial"/>
          <w:i/>
          <w:sz w:val="20"/>
        </w:rPr>
        <w:t xml:space="preserve">l’andamento dei </w:t>
      </w:r>
      <w:r w:rsidR="00AE006E" w:rsidRPr="00AF183E">
        <w:rPr>
          <w:rFonts w:ascii="Arial" w:hAnsi="Arial" w:cs="Arial"/>
          <w:i/>
          <w:sz w:val="20"/>
        </w:rPr>
        <w:t>flussi internazionali</w:t>
      </w:r>
      <w:r w:rsidRPr="00AF183E">
        <w:rPr>
          <w:rFonts w:ascii="Arial" w:hAnsi="Arial" w:cs="Arial"/>
          <w:i/>
          <w:sz w:val="20"/>
        </w:rPr>
        <w:t>”</w:t>
      </w:r>
      <w:r w:rsidR="00AE006E" w:rsidRPr="00AF183E">
        <w:rPr>
          <w:rFonts w:ascii="Arial" w:hAnsi="Arial" w:cs="Arial"/>
          <w:i/>
          <w:sz w:val="20"/>
        </w:rPr>
        <w:t>.</w:t>
      </w:r>
    </w:p>
    <w:p w14:paraId="429E6F30" w14:textId="77777777" w:rsidR="00DF2A1E" w:rsidRPr="00FD434E" w:rsidRDefault="00DF2A1E" w:rsidP="002A632E">
      <w:pPr>
        <w:tabs>
          <w:tab w:val="left" w:pos="426"/>
        </w:tabs>
        <w:ind w:left="426"/>
        <w:rPr>
          <w:rFonts w:ascii="Arial" w:hAnsi="Arial" w:cs="Arial"/>
          <w:sz w:val="20"/>
        </w:rPr>
      </w:pPr>
    </w:p>
    <w:p w14:paraId="56F081CD" w14:textId="77777777" w:rsidR="002A632E" w:rsidRPr="00FD434E" w:rsidRDefault="002A632E" w:rsidP="005D6F46">
      <w:pPr>
        <w:tabs>
          <w:tab w:val="left" w:pos="426"/>
        </w:tabs>
        <w:ind w:left="426"/>
        <w:rPr>
          <w:rFonts w:ascii="Arial" w:hAnsi="Arial" w:cs="Arial"/>
          <w:sz w:val="20"/>
        </w:rPr>
      </w:pPr>
    </w:p>
    <w:p w14:paraId="58DBF268" w14:textId="77777777" w:rsidR="00FD434E" w:rsidRDefault="00FD434E" w:rsidP="00AF183E">
      <w:pPr>
        <w:tabs>
          <w:tab w:val="left" w:pos="560"/>
        </w:tabs>
        <w:jc w:val="both"/>
        <w:outlineLvl w:val="0"/>
        <w:rPr>
          <w:rFonts w:ascii="Arial" w:hAnsi="Arial" w:cs="Arial"/>
          <w:sz w:val="20"/>
        </w:rPr>
      </w:pPr>
    </w:p>
    <w:p w14:paraId="08EF531B" w14:textId="77777777" w:rsidR="00FD434E" w:rsidRPr="00FD434E" w:rsidRDefault="00FD434E" w:rsidP="00B33B48">
      <w:pPr>
        <w:tabs>
          <w:tab w:val="left" w:pos="560"/>
        </w:tabs>
        <w:ind w:left="426"/>
        <w:jc w:val="both"/>
        <w:outlineLvl w:val="0"/>
        <w:rPr>
          <w:rFonts w:ascii="Arial" w:hAnsi="Arial" w:cs="Arial"/>
          <w:sz w:val="20"/>
        </w:rPr>
      </w:pPr>
    </w:p>
    <w:p w14:paraId="5F53FA97" w14:textId="77777777" w:rsidR="00FD434E" w:rsidRPr="00FD434E" w:rsidRDefault="00FD434E" w:rsidP="00B33B48">
      <w:pPr>
        <w:tabs>
          <w:tab w:val="left" w:pos="560"/>
        </w:tabs>
        <w:ind w:left="426"/>
        <w:jc w:val="both"/>
        <w:outlineLvl w:val="0"/>
        <w:rPr>
          <w:rFonts w:ascii="Arial" w:hAnsi="Arial" w:cs="Arial"/>
          <w:sz w:val="20"/>
        </w:rPr>
      </w:pPr>
    </w:p>
    <w:p w14:paraId="33C16233" w14:textId="4CA0B729" w:rsidR="00FD434E" w:rsidRPr="00FD434E" w:rsidRDefault="00FD434E" w:rsidP="00FD434E">
      <w:pPr>
        <w:tabs>
          <w:tab w:val="center" w:pos="3402"/>
          <w:tab w:val="center" w:pos="5103"/>
          <w:tab w:val="center" w:pos="6804"/>
        </w:tabs>
        <w:ind w:left="426"/>
        <w:jc w:val="both"/>
        <w:outlineLvl w:val="0"/>
        <w:rPr>
          <w:rFonts w:ascii="Arial" w:hAnsi="Arial" w:cs="Arial"/>
          <w:b/>
          <w:sz w:val="20"/>
        </w:rPr>
      </w:pPr>
      <w:r w:rsidRPr="00FD434E">
        <w:rPr>
          <w:rFonts w:ascii="Arial" w:hAnsi="Arial" w:cs="Arial"/>
          <w:b/>
          <w:sz w:val="20"/>
        </w:rPr>
        <w:t>MACCHINE PER LA LAVORAZIONE DEL LEGNO E DEL MOBILE: CONSUNTIVO 2021</w:t>
      </w:r>
    </w:p>
    <w:p w14:paraId="747750D3" w14:textId="77777777" w:rsidR="00FD434E" w:rsidRPr="00AF183E" w:rsidRDefault="00FD434E" w:rsidP="00FD434E">
      <w:pPr>
        <w:tabs>
          <w:tab w:val="center" w:pos="3402"/>
          <w:tab w:val="center" w:pos="5103"/>
          <w:tab w:val="center" w:pos="6804"/>
        </w:tabs>
        <w:ind w:left="426"/>
        <w:jc w:val="both"/>
        <w:outlineLvl w:val="0"/>
        <w:rPr>
          <w:rFonts w:ascii="Arial" w:hAnsi="Arial" w:cs="Arial"/>
          <w:sz w:val="10"/>
          <w:szCs w:val="10"/>
        </w:rPr>
      </w:pPr>
    </w:p>
    <w:p w14:paraId="1CE11539" w14:textId="10F89271" w:rsidR="00FD434E" w:rsidRPr="00FD434E" w:rsidRDefault="00FD434E" w:rsidP="00FD434E">
      <w:pPr>
        <w:tabs>
          <w:tab w:val="center" w:pos="3402"/>
          <w:tab w:val="center" w:pos="5103"/>
          <w:tab w:val="center" w:pos="6804"/>
        </w:tabs>
        <w:ind w:left="426"/>
        <w:jc w:val="both"/>
        <w:outlineLvl w:val="0"/>
        <w:rPr>
          <w:rFonts w:ascii="Arial" w:hAnsi="Arial" w:cs="Arial"/>
          <w:i/>
          <w:sz w:val="20"/>
        </w:rPr>
      </w:pPr>
      <w:r w:rsidRPr="00FD434E">
        <w:rPr>
          <w:rFonts w:ascii="Arial" w:hAnsi="Arial" w:cs="Arial"/>
          <w:i/>
          <w:sz w:val="20"/>
        </w:rPr>
        <w:tab/>
        <w:t>Valore</w:t>
      </w:r>
      <w:r w:rsidRPr="00FD434E">
        <w:rPr>
          <w:rFonts w:ascii="Arial" w:hAnsi="Arial" w:cs="Arial"/>
          <w:i/>
          <w:sz w:val="20"/>
        </w:rPr>
        <w:tab/>
        <w:t>Variazione %</w:t>
      </w:r>
      <w:r w:rsidRPr="00FD434E">
        <w:rPr>
          <w:rFonts w:ascii="Arial" w:hAnsi="Arial" w:cs="Arial"/>
          <w:i/>
          <w:sz w:val="20"/>
        </w:rPr>
        <w:tab/>
        <w:t>Variazione %</w:t>
      </w:r>
    </w:p>
    <w:p w14:paraId="7F7A3F5E" w14:textId="0DF61989" w:rsidR="00FD434E" w:rsidRDefault="00FD434E" w:rsidP="00FD434E">
      <w:pPr>
        <w:tabs>
          <w:tab w:val="center" w:pos="3402"/>
          <w:tab w:val="center" w:pos="5103"/>
          <w:tab w:val="center" w:pos="6804"/>
        </w:tabs>
        <w:ind w:left="426"/>
        <w:jc w:val="both"/>
        <w:outlineLvl w:val="0"/>
        <w:rPr>
          <w:rFonts w:ascii="Arial" w:hAnsi="Arial" w:cs="Arial"/>
          <w:i/>
          <w:sz w:val="20"/>
        </w:rPr>
      </w:pPr>
      <w:r w:rsidRPr="00FD434E">
        <w:rPr>
          <w:rFonts w:ascii="Arial" w:hAnsi="Arial" w:cs="Arial"/>
          <w:i/>
          <w:sz w:val="20"/>
        </w:rPr>
        <w:tab/>
        <w:t>(mio euro)</w:t>
      </w:r>
      <w:r w:rsidRPr="00FD434E">
        <w:rPr>
          <w:rFonts w:ascii="Arial" w:hAnsi="Arial" w:cs="Arial"/>
          <w:i/>
          <w:sz w:val="20"/>
        </w:rPr>
        <w:tab/>
        <w:t>2021/2020</w:t>
      </w:r>
      <w:r w:rsidRPr="00FD434E">
        <w:rPr>
          <w:rFonts w:ascii="Arial" w:hAnsi="Arial" w:cs="Arial"/>
          <w:i/>
          <w:sz w:val="20"/>
        </w:rPr>
        <w:tab/>
        <w:t>2021/20</w:t>
      </w:r>
      <w:r>
        <w:rPr>
          <w:rFonts w:ascii="Arial" w:hAnsi="Arial" w:cs="Arial"/>
          <w:i/>
          <w:sz w:val="20"/>
        </w:rPr>
        <w:t>19</w:t>
      </w:r>
    </w:p>
    <w:p w14:paraId="22577171" w14:textId="77777777" w:rsidR="00FD434E" w:rsidRPr="00FD434E" w:rsidRDefault="00FD434E" w:rsidP="00FD434E">
      <w:pPr>
        <w:tabs>
          <w:tab w:val="center" w:pos="3402"/>
          <w:tab w:val="center" w:pos="5103"/>
          <w:tab w:val="center" w:pos="6804"/>
        </w:tabs>
        <w:ind w:left="426"/>
        <w:jc w:val="both"/>
        <w:outlineLvl w:val="0"/>
        <w:rPr>
          <w:rFonts w:ascii="Arial" w:hAnsi="Arial" w:cs="Arial"/>
          <w:i/>
          <w:sz w:val="10"/>
          <w:szCs w:val="10"/>
        </w:rPr>
      </w:pPr>
    </w:p>
    <w:p w14:paraId="0FDDFEC0" w14:textId="293C62D9" w:rsidR="00FD434E" w:rsidRDefault="00FD434E" w:rsidP="00FD434E">
      <w:pPr>
        <w:tabs>
          <w:tab w:val="right" w:pos="3686"/>
          <w:tab w:val="right" w:pos="5387"/>
          <w:tab w:val="right" w:pos="7088"/>
        </w:tabs>
        <w:ind w:left="426"/>
        <w:jc w:val="both"/>
        <w:outlineLvl w:val="0"/>
        <w:rPr>
          <w:rFonts w:ascii="Arial" w:hAnsi="Arial" w:cs="Arial"/>
          <w:sz w:val="20"/>
        </w:rPr>
      </w:pPr>
      <w:r w:rsidRPr="00FD434E">
        <w:rPr>
          <w:rFonts w:ascii="Arial" w:hAnsi="Arial" w:cs="Arial"/>
          <w:b/>
          <w:sz w:val="20"/>
        </w:rPr>
        <w:t>Produzione</w:t>
      </w:r>
      <w:r>
        <w:rPr>
          <w:rFonts w:ascii="Arial" w:hAnsi="Arial" w:cs="Arial"/>
          <w:sz w:val="20"/>
        </w:rPr>
        <w:tab/>
        <w:t>2.530</w:t>
      </w:r>
      <w:r>
        <w:rPr>
          <w:rFonts w:ascii="Arial" w:hAnsi="Arial" w:cs="Arial"/>
          <w:sz w:val="20"/>
        </w:rPr>
        <w:tab/>
        <w:t>+36,9</w:t>
      </w:r>
      <w:r>
        <w:rPr>
          <w:rFonts w:ascii="Arial" w:hAnsi="Arial" w:cs="Arial"/>
          <w:sz w:val="20"/>
        </w:rPr>
        <w:tab/>
        <w:t>+11,6</w:t>
      </w:r>
    </w:p>
    <w:p w14:paraId="4864D135" w14:textId="5EBAB5FE" w:rsidR="00FD434E" w:rsidRDefault="00FD434E" w:rsidP="00FD434E">
      <w:pPr>
        <w:tabs>
          <w:tab w:val="right" w:pos="3686"/>
          <w:tab w:val="right" w:pos="5387"/>
          <w:tab w:val="right" w:pos="7088"/>
        </w:tabs>
        <w:ind w:left="426"/>
        <w:jc w:val="both"/>
        <w:outlineLvl w:val="0"/>
        <w:rPr>
          <w:rFonts w:ascii="Arial" w:hAnsi="Arial" w:cs="Arial"/>
          <w:sz w:val="20"/>
        </w:rPr>
      </w:pPr>
      <w:r w:rsidRPr="00FD434E">
        <w:rPr>
          <w:rFonts w:ascii="Arial" w:hAnsi="Arial" w:cs="Arial"/>
          <w:b/>
          <w:sz w:val="20"/>
        </w:rPr>
        <w:t>Export</w:t>
      </w:r>
      <w:r>
        <w:rPr>
          <w:rFonts w:ascii="Arial" w:hAnsi="Arial" w:cs="Arial"/>
          <w:sz w:val="20"/>
        </w:rPr>
        <w:tab/>
        <w:t>1.740</w:t>
      </w:r>
      <w:r>
        <w:rPr>
          <w:rFonts w:ascii="Arial" w:hAnsi="Arial" w:cs="Arial"/>
          <w:sz w:val="20"/>
        </w:rPr>
        <w:tab/>
        <w:t>+30,8</w:t>
      </w:r>
      <w:r>
        <w:rPr>
          <w:rFonts w:ascii="Arial" w:hAnsi="Arial" w:cs="Arial"/>
          <w:sz w:val="20"/>
        </w:rPr>
        <w:tab/>
        <w:t>+10,1</w:t>
      </w:r>
    </w:p>
    <w:p w14:paraId="3BE4C603" w14:textId="0F14CE65" w:rsidR="00FD434E" w:rsidRDefault="00FD434E" w:rsidP="00FD434E">
      <w:pPr>
        <w:tabs>
          <w:tab w:val="right" w:pos="3686"/>
          <w:tab w:val="right" w:pos="5387"/>
          <w:tab w:val="right" w:pos="7088"/>
        </w:tabs>
        <w:ind w:left="426"/>
        <w:jc w:val="both"/>
        <w:outlineLvl w:val="0"/>
        <w:rPr>
          <w:rFonts w:ascii="Arial" w:hAnsi="Arial" w:cs="Arial"/>
          <w:sz w:val="20"/>
        </w:rPr>
      </w:pPr>
      <w:r w:rsidRPr="00FD434E">
        <w:rPr>
          <w:rFonts w:ascii="Arial" w:hAnsi="Arial" w:cs="Arial"/>
          <w:b/>
          <w:sz w:val="20"/>
        </w:rPr>
        <w:t>Mercato interno</w:t>
      </w:r>
      <w:r>
        <w:rPr>
          <w:rFonts w:ascii="Arial" w:hAnsi="Arial" w:cs="Arial"/>
          <w:sz w:val="20"/>
        </w:rPr>
        <w:tab/>
        <w:t>790</w:t>
      </w:r>
      <w:r>
        <w:rPr>
          <w:rFonts w:ascii="Arial" w:hAnsi="Arial" w:cs="Arial"/>
          <w:sz w:val="20"/>
        </w:rPr>
        <w:tab/>
        <w:t>+52,5</w:t>
      </w:r>
      <w:r>
        <w:rPr>
          <w:rFonts w:ascii="Arial" w:hAnsi="Arial" w:cs="Arial"/>
          <w:sz w:val="20"/>
        </w:rPr>
        <w:tab/>
        <w:t>+15,1</w:t>
      </w:r>
    </w:p>
    <w:p w14:paraId="528D3AC7" w14:textId="7C8AB1D7" w:rsidR="00FD434E" w:rsidRDefault="00FD434E" w:rsidP="00FD434E">
      <w:pPr>
        <w:tabs>
          <w:tab w:val="right" w:pos="3686"/>
          <w:tab w:val="right" w:pos="5387"/>
          <w:tab w:val="right" w:pos="7088"/>
        </w:tabs>
        <w:ind w:left="426"/>
        <w:jc w:val="both"/>
        <w:outlineLvl w:val="0"/>
        <w:rPr>
          <w:rFonts w:ascii="Arial" w:hAnsi="Arial" w:cs="Arial"/>
          <w:sz w:val="20"/>
        </w:rPr>
      </w:pPr>
      <w:r w:rsidRPr="00FD434E">
        <w:rPr>
          <w:rFonts w:ascii="Arial" w:hAnsi="Arial" w:cs="Arial"/>
          <w:b/>
          <w:sz w:val="20"/>
        </w:rPr>
        <w:t>Import</w:t>
      </w:r>
      <w:r>
        <w:rPr>
          <w:rFonts w:ascii="Arial" w:hAnsi="Arial" w:cs="Arial"/>
          <w:sz w:val="20"/>
        </w:rPr>
        <w:tab/>
        <w:t>244</w:t>
      </w:r>
      <w:r>
        <w:rPr>
          <w:rFonts w:ascii="Arial" w:hAnsi="Arial" w:cs="Arial"/>
          <w:sz w:val="20"/>
        </w:rPr>
        <w:tab/>
        <w:t>+59,4</w:t>
      </w:r>
      <w:r>
        <w:rPr>
          <w:rFonts w:ascii="Arial" w:hAnsi="Arial" w:cs="Arial"/>
          <w:sz w:val="20"/>
        </w:rPr>
        <w:tab/>
        <w:t>+21,4</w:t>
      </w:r>
    </w:p>
    <w:p w14:paraId="2C3EB3F6" w14:textId="6C59C59A" w:rsidR="00FD434E" w:rsidRDefault="00FD434E" w:rsidP="00FD434E">
      <w:pPr>
        <w:tabs>
          <w:tab w:val="right" w:pos="3686"/>
          <w:tab w:val="right" w:pos="5387"/>
          <w:tab w:val="right" w:pos="7088"/>
        </w:tabs>
        <w:ind w:left="426"/>
        <w:jc w:val="both"/>
        <w:outlineLvl w:val="0"/>
        <w:rPr>
          <w:rFonts w:ascii="Arial" w:hAnsi="Arial" w:cs="Arial"/>
          <w:sz w:val="20"/>
        </w:rPr>
      </w:pPr>
      <w:r w:rsidRPr="00FD434E">
        <w:rPr>
          <w:rFonts w:ascii="Arial" w:hAnsi="Arial" w:cs="Arial"/>
          <w:b/>
          <w:sz w:val="20"/>
        </w:rPr>
        <w:t>Bilancia commerciale</w:t>
      </w:r>
      <w:r>
        <w:rPr>
          <w:rFonts w:ascii="Arial" w:hAnsi="Arial" w:cs="Arial"/>
          <w:sz w:val="20"/>
        </w:rPr>
        <w:tab/>
        <w:t>1.496</w:t>
      </w:r>
      <w:r>
        <w:rPr>
          <w:rFonts w:ascii="Arial" w:hAnsi="Arial" w:cs="Arial"/>
          <w:sz w:val="20"/>
        </w:rPr>
        <w:tab/>
        <w:t>+27,1</w:t>
      </w:r>
      <w:r>
        <w:rPr>
          <w:rFonts w:ascii="Arial" w:hAnsi="Arial" w:cs="Arial"/>
          <w:sz w:val="20"/>
        </w:rPr>
        <w:tab/>
        <w:t>+8,5</w:t>
      </w:r>
    </w:p>
    <w:p w14:paraId="6FD57E43" w14:textId="4AFE8920" w:rsidR="00FD434E" w:rsidRDefault="00FD434E" w:rsidP="00FD434E">
      <w:pPr>
        <w:tabs>
          <w:tab w:val="right" w:pos="3686"/>
          <w:tab w:val="right" w:pos="5387"/>
          <w:tab w:val="right" w:pos="7088"/>
        </w:tabs>
        <w:ind w:left="426"/>
        <w:jc w:val="both"/>
        <w:outlineLvl w:val="0"/>
        <w:rPr>
          <w:rFonts w:ascii="Arial" w:hAnsi="Arial" w:cs="Arial"/>
          <w:sz w:val="20"/>
        </w:rPr>
      </w:pPr>
      <w:r w:rsidRPr="00FD434E">
        <w:rPr>
          <w:rFonts w:ascii="Arial" w:hAnsi="Arial" w:cs="Arial"/>
          <w:b/>
          <w:sz w:val="20"/>
        </w:rPr>
        <w:t>Consumo apparente</w:t>
      </w:r>
      <w:r>
        <w:rPr>
          <w:rFonts w:ascii="Arial" w:hAnsi="Arial" w:cs="Arial"/>
          <w:sz w:val="20"/>
        </w:rPr>
        <w:tab/>
        <w:t>1.034</w:t>
      </w:r>
      <w:r>
        <w:rPr>
          <w:rFonts w:ascii="Arial" w:hAnsi="Arial" w:cs="Arial"/>
          <w:sz w:val="20"/>
        </w:rPr>
        <w:tab/>
        <w:t>+54,1</w:t>
      </w:r>
      <w:r>
        <w:rPr>
          <w:rFonts w:ascii="Arial" w:hAnsi="Arial" w:cs="Arial"/>
          <w:sz w:val="20"/>
        </w:rPr>
        <w:tab/>
        <w:t>+16,5</w:t>
      </w:r>
    </w:p>
    <w:p w14:paraId="1AA686C7" w14:textId="77777777" w:rsidR="00FD434E" w:rsidRDefault="00FD434E" w:rsidP="00FD434E">
      <w:pPr>
        <w:tabs>
          <w:tab w:val="right" w:pos="3686"/>
          <w:tab w:val="right" w:pos="5387"/>
          <w:tab w:val="right" w:pos="7088"/>
        </w:tabs>
        <w:ind w:left="426"/>
        <w:jc w:val="both"/>
        <w:outlineLvl w:val="0"/>
        <w:rPr>
          <w:rFonts w:ascii="Arial" w:hAnsi="Arial" w:cs="Arial"/>
          <w:sz w:val="20"/>
        </w:rPr>
      </w:pPr>
    </w:p>
    <w:p w14:paraId="614FA848" w14:textId="77777777" w:rsidR="00FD434E" w:rsidRDefault="00FD434E" w:rsidP="00AF183E">
      <w:pPr>
        <w:tabs>
          <w:tab w:val="right" w:pos="3686"/>
          <w:tab w:val="right" w:pos="5387"/>
          <w:tab w:val="right" w:pos="7088"/>
        </w:tabs>
        <w:jc w:val="both"/>
        <w:outlineLvl w:val="0"/>
        <w:rPr>
          <w:rFonts w:ascii="Arial" w:hAnsi="Arial" w:cs="Arial"/>
          <w:sz w:val="20"/>
        </w:rPr>
      </w:pPr>
    </w:p>
    <w:p w14:paraId="490BC469" w14:textId="77777777" w:rsidR="00AF183E" w:rsidRDefault="00AF183E" w:rsidP="005A336D">
      <w:pPr>
        <w:tabs>
          <w:tab w:val="right" w:pos="3686"/>
          <w:tab w:val="right" w:pos="5387"/>
          <w:tab w:val="right" w:pos="7088"/>
        </w:tabs>
        <w:jc w:val="both"/>
        <w:outlineLvl w:val="0"/>
        <w:rPr>
          <w:rFonts w:ascii="Arial" w:hAnsi="Arial" w:cs="Arial"/>
          <w:sz w:val="20"/>
        </w:rPr>
      </w:pPr>
    </w:p>
    <w:p w14:paraId="637AC749" w14:textId="77777777" w:rsidR="00AF183E" w:rsidRDefault="00AF183E" w:rsidP="00FD434E">
      <w:pPr>
        <w:tabs>
          <w:tab w:val="right" w:pos="3686"/>
          <w:tab w:val="right" w:pos="5387"/>
          <w:tab w:val="right" w:pos="7088"/>
        </w:tabs>
        <w:ind w:left="426"/>
        <w:jc w:val="both"/>
        <w:outlineLvl w:val="0"/>
        <w:rPr>
          <w:rFonts w:ascii="Arial" w:hAnsi="Arial" w:cs="Arial"/>
          <w:sz w:val="20"/>
        </w:rPr>
      </w:pPr>
    </w:p>
    <w:p w14:paraId="46473D88" w14:textId="0486F1BB" w:rsidR="00FD434E" w:rsidRDefault="00FD434E" w:rsidP="00FD434E">
      <w:pPr>
        <w:tabs>
          <w:tab w:val="center" w:pos="3402"/>
          <w:tab w:val="center" w:pos="5103"/>
          <w:tab w:val="center" w:pos="6804"/>
        </w:tabs>
        <w:ind w:left="426"/>
        <w:jc w:val="both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ESPORTAZIONI ITALIANE </w:t>
      </w:r>
      <w:r w:rsidRPr="00FD434E">
        <w:rPr>
          <w:rFonts w:ascii="Arial" w:hAnsi="Arial" w:cs="Arial"/>
          <w:b/>
          <w:sz w:val="20"/>
        </w:rPr>
        <w:t>MACCHINE PER LA LAVORAZIONE DEL LEGN</w:t>
      </w:r>
      <w:r>
        <w:rPr>
          <w:rFonts w:ascii="Arial" w:hAnsi="Arial" w:cs="Arial"/>
          <w:b/>
          <w:sz w:val="20"/>
        </w:rPr>
        <w:t>O E DEL MOBILE</w:t>
      </w:r>
      <w:r w:rsidRPr="00FD434E">
        <w:rPr>
          <w:rFonts w:ascii="Arial" w:hAnsi="Arial" w:cs="Arial"/>
          <w:b/>
          <w:sz w:val="20"/>
        </w:rPr>
        <w:t xml:space="preserve"> </w:t>
      </w:r>
    </w:p>
    <w:p w14:paraId="6404D4F7" w14:textId="068DA4C8" w:rsidR="00FD434E" w:rsidRPr="00FD434E" w:rsidRDefault="00FD434E" w:rsidP="00FD434E">
      <w:pPr>
        <w:tabs>
          <w:tab w:val="center" w:pos="3402"/>
          <w:tab w:val="center" w:pos="5103"/>
          <w:tab w:val="center" w:pos="6804"/>
        </w:tabs>
        <w:ind w:left="426"/>
        <w:jc w:val="both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“Top </w:t>
      </w:r>
      <w:proofErr w:type="spellStart"/>
      <w:r>
        <w:rPr>
          <w:rFonts w:ascii="Arial" w:hAnsi="Arial" w:cs="Arial"/>
          <w:b/>
          <w:sz w:val="20"/>
        </w:rPr>
        <w:t>ten</w:t>
      </w:r>
      <w:proofErr w:type="spellEnd"/>
      <w:r>
        <w:rPr>
          <w:rFonts w:ascii="Arial" w:hAnsi="Arial" w:cs="Arial"/>
          <w:b/>
          <w:sz w:val="20"/>
        </w:rPr>
        <w:t>” per Paesi di destinazione</w:t>
      </w:r>
    </w:p>
    <w:p w14:paraId="286AFC53" w14:textId="77777777" w:rsidR="00FD434E" w:rsidRPr="00AF183E" w:rsidRDefault="00FD434E" w:rsidP="00FD434E">
      <w:pPr>
        <w:tabs>
          <w:tab w:val="center" w:pos="3402"/>
          <w:tab w:val="center" w:pos="5103"/>
          <w:tab w:val="center" w:pos="6804"/>
        </w:tabs>
        <w:ind w:left="426"/>
        <w:jc w:val="both"/>
        <w:outlineLvl w:val="0"/>
        <w:rPr>
          <w:rFonts w:ascii="Arial" w:hAnsi="Arial" w:cs="Arial"/>
          <w:sz w:val="10"/>
          <w:szCs w:val="10"/>
        </w:rPr>
      </w:pPr>
    </w:p>
    <w:p w14:paraId="2B5EB88C" w14:textId="05298B6E" w:rsidR="00FD434E" w:rsidRPr="00FD434E" w:rsidRDefault="00FD434E" w:rsidP="00FD434E">
      <w:pPr>
        <w:tabs>
          <w:tab w:val="center" w:pos="2835"/>
          <w:tab w:val="center" w:pos="4678"/>
          <w:tab w:val="center" w:pos="6804"/>
        </w:tabs>
        <w:ind w:left="426"/>
        <w:jc w:val="both"/>
        <w:outlineLvl w:val="0"/>
        <w:rPr>
          <w:rFonts w:ascii="Arial" w:hAnsi="Arial" w:cs="Arial"/>
          <w:i/>
          <w:sz w:val="20"/>
        </w:rPr>
      </w:pPr>
      <w:r w:rsidRPr="00FD434E">
        <w:rPr>
          <w:rFonts w:ascii="Arial" w:hAnsi="Arial" w:cs="Arial"/>
          <w:i/>
          <w:sz w:val="20"/>
        </w:rPr>
        <w:tab/>
        <w:t>Valore</w:t>
      </w:r>
      <w:r w:rsidRPr="00FD434E">
        <w:rPr>
          <w:rFonts w:ascii="Arial" w:hAnsi="Arial" w:cs="Arial"/>
          <w:i/>
          <w:sz w:val="20"/>
        </w:rPr>
        <w:tab/>
        <w:t>Variazione %</w:t>
      </w:r>
      <w:r w:rsidR="00663C99">
        <w:rPr>
          <w:rFonts w:ascii="Arial" w:hAnsi="Arial" w:cs="Arial"/>
          <w:i/>
          <w:sz w:val="20"/>
        </w:rPr>
        <w:tab/>
        <w:t>Variazione %</w:t>
      </w:r>
      <w:r w:rsidRPr="00FD434E">
        <w:rPr>
          <w:rFonts w:ascii="Arial" w:hAnsi="Arial" w:cs="Arial"/>
          <w:i/>
          <w:sz w:val="20"/>
        </w:rPr>
        <w:tab/>
      </w:r>
    </w:p>
    <w:p w14:paraId="6BDA95C5" w14:textId="25D6AEBD" w:rsidR="00FD434E" w:rsidRDefault="00FD434E" w:rsidP="00FD434E">
      <w:pPr>
        <w:tabs>
          <w:tab w:val="center" w:pos="2835"/>
          <w:tab w:val="center" w:pos="4678"/>
          <w:tab w:val="center" w:pos="6804"/>
        </w:tabs>
        <w:ind w:left="426"/>
        <w:jc w:val="both"/>
        <w:outlineLvl w:val="0"/>
        <w:rPr>
          <w:rFonts w:ascii="Arial" w:hAnsi="Arial" w:cs="Arial"/>
          <w:i/>
          <w:sz w:val="20"/>
        </w:rPr>
      </w:pPr>
      <w:r w:rsidRPr="00FD434E">
        <w:rPr>
          <w:rFonts w:ascii="Arial" w:hAnsi="Arial" w:cs="Arial"/>
          <w:i/>
          <w:sz w:val="20"/>
        </w:rPr>
        <w:tab/>
        <w:t>(mio euro)</w:t>
      </w:r>
      <w:r w:rsidRPr="00FD434E">
        <w:rPr>
          <w:rFonts w:ascii="Arial" w:hAnsi="Arial" w:cs="Arial"/>
          <w:i/>
          <w:sz w:val="20"/>
        </w:rPr>
        <w:tab/>
        <w:t>2021/2020</w:t>
      </w:r>
      <w:r w:rsidR="00663C99">
        <w:rPr>
          <w:rFonts w:ascii="Arial" w:hAnsi="Arial" w:cs="Arial"/>
          <w:i/>
          <w:sz w:val="20"/>
        </w:rPr>
        <w:tab/>
        <w:t>2021/2019</w:t>
      </w:r>
      <w:r w:rsidRPr="00FD434E">
        <w:rPr>
          <w:rFonts w:ascii="Arial" w:hAnsi="Arial" w:cs="Arial"/>
          <w:i/>
          <w:sz w:val="20"/>
        </w:rPr>
        <w:tab/>
      </w:r>
    </w:p>
    <w:p w14:paraId="3BB08846" w14:textId="77777777" w:rsidR="00FD434E" w:rsidRPr="00FD434E" w:rsidRDefault="00FD434E" w:rsidP="00FD434E">
      <w:pPr>
        <w:tabs>
          <w:tab w:val="center" w:pos="3402"/>
          <w:tab w:val="center" w:pos="5103"/>
          <w:tab w:val="center" w:pos="6804"/>
        </w:tabs>
        <w:ind w:left="426"/>
        <w:jc w:val="both"/>
        <w:outlineLvl w:val="0"/>
        <w:rPr>
          <w:rFonts w:ascii="Arial" w:hAnsi="Arial" w:cs="Arial"/>
          <w:i/>
          <w:sz w:val="10"/>
          <w:szCs w:val="10"/>
        </w:rPr>
      </w:pPr>
    </w:p>
    <w:p w14:paraId="7E68B9DF" w14:textId="37FA4FD8" w:rsidR="00FD434E" w:rsidRDefault="00FD434E" w:rsidP="00FD434E">
      <w:pPr>
        <w:tabs>
          <w:tab w:val="right" w:pos="3119"/>
          <w:tab w:val="right" w:pos="4962"/>
          <w:tab w:val="right" w:pos="7088"/>
        </w:tabs>
        <w:ind w:left="426"/>
        <w:jc w:val="both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Stati Uniti</w:t>
      </w:r>
      <w:r>
        <w:rPr>
          <w:rFonts w:ascii="Arial" w:hAnsi="Arial" w:cs="Arial"/>
          <w:sz w:val="20"/>
        </w:rPr>
        <w:tab/>
        <w:t>164,2</w:t>
      </w:r>
      <w:r>
        <w:rPr>
          <w:rFonts w:ascii="Arial" w:hAnsi="Arial" w:cs="Arial"/>
          <w:sz w:val="20"/>
        </w:rPr>
        <w:tab/>
        <w:t>+13,9</w:t>
      </w:r>
      <w:r w:rsidR="00663C99">
        <w:rPr>
          <w:rFonts w:ascii="Arial" w:hAnsi="Arial" w:cs="Arial"/>
          <w:sz w:val="20"/>
        </w:rPr>
        <w:tab/>
      </w:r>
      <w:r w:rsidR="00663C99" w:rsidRPr="00663C99">
        <w:rPr>
          <w:rFonts w:ascii="Arial" w:hAnsi="Arial" w:cs="Arial"/>
          <w:color w:val="000000" w:themeColor="text1"/>
          <w:sz w:val="20"/>
        </w:rPr>
        <w:t>-17,1</w:t>
      </w:r>
      <w:r w:rsidRPr="00663C99">
        <w:rPr>
          <w:rFonts w:ascii="Arial" w:hAnsi="Arial" w:cs="Arial"/>
          <w:color w:val="000000" w:themeColor="text1"/>
          <w:sz w:val="20"/>
        </w:rPr>
        <w:tab/>
      </w:r>
    </w:p>
    <w:p w14:paraId="3E3D3E61" w14:textId="2227F65E" w:rsidR="00FD434E" w:rsidRDefault="00FD434E" w:rsidP="00FD434E">
      <w:pPr>
        <w:tabs>
          <w:tab w:val="right" w:pos="3119"/>
          <w:tab w:val="right" w:pos="4962"/>
          <w:tab w:val="right" w:pos="7088"/>
        </w:tabs>
        <w:ind w:left="426"/>
        <w:jc w:val="both"/>
        <w:outlineLvl w:val="0"/>
        <w:rPr>
          <w:rFonts w:ascii="Arial" w:hAnsi="Arial" w:cs="Arial"/>
          <w:b/>
          <w:sz w:val="20"/>
        </w:rPr>
      </w:pPr>
      <w:r w:rsidRPr="00FD434E">
        <w:rPr>
          <w:rFonts w:ascii="Arial" w:hAnsi="Arial" w:cs="Arial"/>
          <w:b/>
          <w:sz w:val="20"/>
        </w:rPr>
        <w:t>Francia</w:t>
      </w:r>
      <w:r>
        <w:rPr>
          <w:rFonts w:ascii="Arial" w:hAnsi="Arial" w:cs="Arial"/>
          <w:b/>
          <w:sz w:val="20"/>
        </w:rPr>
        <w:tab/>
      </w:r>
      <w:r w:rsidRPr="00FD434E">
        <w:rPr>
          <w:rFonts w:ascii="Arial" w:hAnsi="Arial" w:cs="Arial"/>
          <w:sz w:val="20"/>
        </w:rPr>
        <w:t>118,2</w:t>
      </w:r>
      <w:r w:rsidRPr="00FD434E">
        <w:rPr>
          <w:rFonts w:ascii="Arial" w:hAnsi="Arial" w:cs="Arial"/>
          <w:sz w:val="20"/>
        </w:rPr>
        <w:tab/>
      </w:r>
      <w:r w:rsidR="005A336D">
        <w:rPr>
          <w:rFonts w:ascii="Arial" w:hAnsi="Arial" w:cs="Arial"/>
          <w:sz w:val="20"/>
        </w:rPr>
        <w:t>+</w:t>
      </w:r>
      <w:r w:rsidRPr="00FD434E">
        <w:rPr>
          <w:rFonts w:ascii="Arial" w:hAnsi="Arial" w:cs="Arial"/>
          <w:sz w:val="20"/>
        </w:rPr>
        <w:t>10,3</w:t>
      </w:r>
      <w:r w:rsidR="00663C99">
        <w:rPr>
          <w:rFonts w:ascii="Arial" w:hAnsi="Arial" w:cs="Arial"/>
          <w:sz w:val="20"/>
        </w:rPr>
        <w:tab/>
      </w:r>
      <w:r w:rsidR="005A336D">
        <w:rPr>
          <w:rFonts w:ascii="Arial" w:hAnsi="Arial" w:cs="Arial"/>
          <w:sz w:val="20"/>
        </w:rPr>
        <w:t>+</w:t>
      </w:r>
      <w:r w:rsidR="00663C99">
        <w:rPr>
          <w:rFonts w:ascii="Arial" w:hAnsi="Arial" w:cs="Arial"/>
          <w:sz w:val="20"/>
        </w:rPr>
        <w:t>4,4</w:t>
      </w:r>
    </w:p>
    <w:p w14:paraId="5CA5D96B" w14:textId="72234BD0" w:rsidR="00FD434E" w:rsidRDefault="00FD434E" w:rsidP="00FD434E">
      <w:pPr>
        <w:tabs>
          <w:tab w:val="right" w:pos="3119"/>
          <w:tab w:val="right" w:pos="4962"/>
          <w:tab w:val="right" w:pos="7088"/>
        </w:tabs>
        <w:ind w:left="426"/>
        <w:jc w:val="both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Polonia</w:t>
      </w:r>
      <w:r>
        <w:rPr>
          <w:rFonts w:ascii="Arial" w:hAnsi="Arial" w:cs="Arial"/>
          <w:b/>
          <w:sz w:val="20"/>
        </w:rPr>
        <w:tab/>
      </w:r>
      <w:r w:rsidRPr="00FD434E">
        <w:rPr>
          <w:rFonts w:ascii="Arial" w:hAnsi="Arial" w:cs="Arial"/>
          <w:sz w:val="20"/>
        </w:rPr>
        <w:t>110,6</w:t>
      </w:r>
      <w:r w:rsidRPr="00FD434E">
        <w:rPr>
          <w:rFonts w:ascii="Arial" w:hAnsi="Arial" w:cs="Arial"/>
          <w:sz w:val="20"/>
        </w:rPr>
        <w:tab/>
      </w:r>
      <w:r w:rsidR="005A336D">
        <w:rPr>
          <w:rFonts w:ascii="Arial" w:hAnsi="Arial" w:cs="Arial"/>
          <w:sz w:val="20"/>
        </w:rPr>
        <w:t>+</w:t>
      </w:r>
      <w:r w:rsidRPr="00FD434E">
        <w:rPr>
          <w:rFonts w:ascii="Arial" w:hAnsi="Arial" w:cs="Arial"/>
          <w:sz w:val="20"/>
        </w:rPr>
        <w:t>34,0</w:t>
      </w:r>
      <w:r w:rsidR="00663C99">
        <w:rPr>
          <w:rFonts w:ascii="Arial" w:hAnsi="Arial" w:cs="Arial"/>
          <w:sz w:val="20"/>
        </w:rPr>
        <w:tab/>
      </w:r>
      <w:r w:rsidR="005A336D">
        <w:rPr>
          <w:rFonts w:ascii="Arial" w:hAnsi="Arial" w:cs="Arial"/>
          <w:sz w:val="20"/>
        </w:rPr>
        <w:t>+</w:t>
      </w:r>
      <w:r w:rsidR="00663C99">
        <w:rPr>
          <w:rFonts w:ascii="Arial" w:hAnsi="Arial" w:cs="Arial"/>
          <w:sz w:val="20"/>
        </w:rPr>
        <w:t>27,1</w:t>
      </w:r>
    </w:p>
    <w:p w14:paraId="57AC6F9C" w14:textId="4F205855" w:rsidR="00FD434E" w:rsidRDefault="00FD434E" w:rsidP="00FD434E">
      <w:pPr>
        <w:tabs>
          <w:tab w:val="right" w:pos="3119"/>
          <w:tab w:val="right" w:pos="4962"/>
          <w:tab w:val="right" w:pos="7088"/>
        </w:tabs>
        <w:ind w:left="426"/>
        <w:jc w:val="both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Germana</w:t>
      </w:r>
      <w:r>
        <w:rPr>
          <w:rFonts w:ascii="Arial" w:hAnsi="Arial" w:cs="Arial"/>
          <w:b/>
          <w:sz w:val="20"/>
        </w:rPr>
        <w:tab/>
      </w:r>
      <w:r w:rsidRPr="00FD434E">
        <w:rPr>
          <w:rFonts w:ascii="Arial" w:hAnsi="Arial" w:cs="Arial"/>
          <w:sz w:val="20"/>
        </w:rPr>
        <w:t>106,3</w:t>
      </w:r>
      <w:r w:rsidRPr="00FD434E">
        <w:rPr>
          <w:rFonts w:ascii="Arial" w:hAnsi="Arial" w:cs="Arial"/>
          <w:sz w:val="20"/>
        </w:rPr>
        <w:tab/>
      </w:r>
      <w:r w:rsidR="005A336D">
        <w:rPr>
          <w:rFonts w:ascii="Arial" w:hAnsi="Arial" w:cs="Arial"/>
          <w:sz w:val="20"/>
        </w:rPr>
        <w:t>+</w:t>
      </w:r>
      <w:r w:rsidRPr="00FD434E">
        <w:rPr>
          <w:rFonts w:ascii="Arial" w:hAnsi="Arial" w:cs="Arial"/>
          <w:sz w:val="20"/>
        </w:rPr>
        <w:t>11,2</w:t>
      </w:r>
      <w:r w:rsidR="00663C99">
        <w:rPr>
          <w:rFonts w:ascii="Arial" w:hAnsi="Arial" w:cs="Arial"/>
          <w:sz w:val="20"/>
        </w:rPr>
        <w:tab/>
      </w:r>
      <w:r w:rsidR="005A336D">
        <w:rPr>
          <w:rFonts w:ascii="Arial" w:hAnsi="Arial" w:cs="Arial"/>
          <w:sz w:val="20"/>
        </w:rPr>
        <w:t>+</w:t>
      </w:r>
      <w:r w:rsidR="00663C99">
        <w:rPr>
          <w:rFonts w:ascii="Arial" w:hAnsi="Arial" w:cs="Arial"/>
          <w:sz w:val="20"/>
        </w:rPr>
        <w:t>3,9</w:t>
      </w:r>
    </w:p>
    <w:p w14:paraId="3DAB58A7" w14:textId="26E992C4" w:rsidR="00FD434E" w:rsidRDefault="00FD434E" w:rsidP="00FD434E">
      <w:pPr>
        <w:tabs>
          <w:tab w:val="right" w:pos="3119"/>
          <w:tab w:val="right" w:pos="4962"/>
          <w:tab w:val="right" w:pos="7088"/>
        </w:tabs>
        <w:ind w:left="426"/>
        <w:jc w:val="both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Regno Unito</w:t>
      </w:r>
      <w:r>
        <w:rPr>
          <w:rFonts w:ascii="Arial" w:hAnsi="Arial" w:cs="Arial"/>
          <w:b/>
          <w:sz w:val="20"/>
        </w:rPr>
        <w:tab/>
      </w:r>
      <w:r w:rsidRPr="00FD434E">
        <w:rPr>
          <w:rFonts w:ascii="Arial" w:hAnsi="Arial" w:cs="Arial"/>
          <w:sz w:val="20"/>
        </w:rPr>
        <w:t>81,3</w:t>
      </w:r>
      <w:r w:rsidRPr="00FD434E">
        <w:rPr>
          <w:rFonts w:ascii="Arial" w:hAnsi="Arial" w:cs="Arial"/>
          <w:sz w:val="20"/>
        </w:rPr>
        <w:tab/>
      </w:r>
      <w:r w:rsidR="005A336D">
        <w:rPr>
          <w:rFonts w:ascii="Arial" w:hAnsi="Arial" w:cs="Arial"/>
          <w:sz w:val="20"/>
        </w:rPr>
        <w:t>+</w:t>
      </w:r>
      <w:r w:rsidRPr="00FD434E">
        <w:rPr>
          <w:rFonts w:ascii="Arial" w:hAnsi="Arial" w:cs="Arial"/>
          <w:sz w:val="20"/>
        </w:rPr>
        <w:t>56,0</w:t>
      </w:r>
      <w:r w:rsidR="00663C99">
        <w:rPr>
          <w:rFonts w:ascii="Arial" w:hAnsi="Arial" w:cs="Arial"/>
          <w:sz w:val="20"/>
        </w:rPr>
        <w:tab/>
      </w:r>
      <w:r w:rsidR="005A336D">
        <w:rPr>
          <w:rFonts w:ascii="Arial" w:hAnsi="Arial" w:cs="Arial"/>
          <w:sz w:val="20"/>
        </w:rPr>
        <w:t>+</w:t>
      </w:r>
      <w:r w:rsidR="00663C99">
        <w:rPr>
          <w:rFonts w:ascii="Arial" w:hAnsi="Arial" w:cs="Arial"/>
          <w:sz w:val="20"/>
        </w:rPr>
        <w:t>37,3</w:t>
      </w:r>
    </w:p>
    <w:p w14:paraId="6352247E" w14:textId="69B03388" w:rsidR="00FD434E" w:rsidRDefault="00FD434E" w:rsidP="00FD434E">
      <w:pPr>
        <w:tabs>
          <w:tab w:val="right" w:pos="3119"/>
          <w:tab w:val="right" w:pos="4962"/>
          <w:tab w:val="right" w:pos="7088"/>
        </w:tabs>
        <w:ind w:left="426"/>
        <w:jc w:val="both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Spagna</w:t>
      </w:r>
      <w:r>
        <w:rPr>
          <w:rFonts w:ascii="Arial" w:hAnsi="Arial" w:cs="Arial"/>
          <w:b/>
          <w:sz w:val="20"/>
        </w:rPr>
        <w:tab/>
      </w:r>
      <w:r w:rsidRPr="00FD434E">
        <w:rPr>
          <w:rFonts w:ascii="Arial" w:hAnsi="Arial" w:cs="Arial"/>
          <w:sz w:val="20"/>
        </w:rPr>
        <w:t>76,2</w:t>
      </w:r>
      <w:r w:rsidRPr="00FD434E">
        <w:rPr>
          <w:rFonts w:ascii="Arial" w:hAnsi="Arial" w:cs="Arial"/>
          <w:sz w:val="20"/>
        </w:rPr>
        <w:tab/>
      </w:r>
      <w:r w:rsidR="005A336D">
        <w:rPr>
          <w:rFonts w:ascii="Arial" w:hAnsi="Arial" w:cs="Arial"/>
          <w:sz w:val="20"/>
        </w:rPr>
        <w:t>+</w:t>
      </w:r>
      <w:r w:rsidRPr="00FD434E">
        <w:rPr>
          <w:rFonts w:ascii="Arial" w:hAnsi="Arial" w:cs="Arial"/>
          <w:sz w:val="20"/>
        </w:rPr>
        <w:t>62,3</w:t>
      </w:r>
      <w:r w:rsidR="00663C99">
        <w:rPr>
          <w:rFonts w:ascii="Arial" w:hAnsi="Arial" w:cs="Arial"/>
          <w:sz w:val="20"/>
        </w:rPr>
        <w:tab/>
      </w:r>
      <w:r w:rsidR="005A336D">
        <w:rPr>
          <w:rFonts w:ascii="Arial" w:hAnsi="Arial" w:cs="Arial"/>
          <w:sz w:val="20"/>
        </w:rPr>
        <w:t>+</w:t>
      </w:r>
      <w:r w:rsidR="00663C99">
        <w:rPr>
          <w:rFonts w:ascii="Arial" w:hAnsi="Arial" w:cs="Arial"/>
          <w:sz w:val="20"/>
        </w:rPr>
        <w:t>2,0</w:t>
      </w:r>
    </w:p>
    <w:p w14:paraId="614EE6C3" w14:textId="27B5C971" w:rsidR="00FD434E" w:rsidRDefault="00FD434E" w:rsidP="00FD434E">
      <w:pPr>
        <w:tabs>
          <w:tab w:val="right" w:pos="3119"/>
          <w:tab w:val="right" w:pos="4962"/>
          <w:tab w:val="right" w:pos="7088"/>
        </w:tabs>
        <w:ind w:left="426"/>
        <w:jc w:val="both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Russia</w:t>
      </w:r>
      <w:r>
        <w:rPr>
          <w:rFonts w:ascii="Arial" w:hAnsi="Arial" w:cs="Arial"/>
          <w:b/>
          <w:sz w:val="20"/>
        </w:rPr>
        <w:tab/>
      </w:r>
      <w:r w:rsidRPr="00FD434E">
        <w:rPr>
          <w:rFonts w:ascii="Arial" w:hAnsi="Arial" w:cs="Arial"/>
          <w:sz w:val="20"/>
        </w:rPr>
        <w:t>67,3</w:t>
      </w:r>
      <w:r w:rsidRPr="00FD434E">
        <w:rPr>
          <w:rFonts w:ascii="Arial" w:hAnsi="Arial" w:cs="Arial"/>
          <w:sz w:val="20"/>
        </w:rPr>
        <w:tab/>
      </w:r>
      <w:r w:rsidR="005A336D">
        <w:rPr>
          <w:rFonts w:ascii="Arial" w:hAnsi="Arial" w:cs="Arial"/>
          <w:sz w:val="20"/>
        </w:rPr>
        <w:t>+</w:t>
      </w:r>
      <w:r w:rsidRPr="00FD434E">
        <w:rPr>
          <w:rFonts w:ascii="Arial" w:hAnsi="Arial" w:cs="Arial"/>
          <w:sz w:val="20"/>
        </w:rPr>
        <w:t>102,4</w:t>
      </w:r>
      <w:r w:rsidR="00663C99">
        <w:rPr>
          <w:rFonts w:ascii="Arial" w:hAnsi="Arial" w:cs="Arial"/>
          <w:sz w:val="20"/>
        </w:rPr>
        <w:tab/>
      </w:r>
      <w:r w:rsidR="005A336D">
        <w:rPr>
          <w:rFonts w:ascii="Arial" w:hAnsi="Arial" w:cs="Arial"/>
          <w:sz w:val="20"/>
        </w:rPr>
        <w:t>+</w:t>
      </w:r>
      <w:r w:rsidR="00663C99">
        <w:rPr>
          <w:rFonts w:ascii="Arial" w:hAnsi="Arial" w:cs="Arial"/>
          <w:sz w:val="20"/>
        </w:rPr>
        <w:t>78,0</w:t>
      </w:r>
    </w:p>
    <w:p w14:paraId="7E1D485B" w14:textId="71C33343" w:rsidR="00FD434E" w:rsidRDefault="00FD434E" w:rsidP="00FD434E">
      <w:pPr>
        <w:tabs>
          <w:tab w:val="right" w:pos="3119"/>
          <w:tab w:val="right" w:pos="4962"/>
          <w:tab w:val="right" w:pos="7088"/>
        </w:tabs>
        <w:ind w:left="426"/>
        <w:jc w:val="both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Cina</w:t>
      </w:r>
      <w:r>
        <w:rPr>
          <w:rFonts w:ascii="Arial" w:hAnsi="Arial" w:cs="Arial"/>
          <w:b/>
          <w:sz w:val="20"/>
        </w:rPr>
        <w:tab/>
      </w:r>
      <w:r w:rsidRPr="00FD434E">
        <w:rPr>
          <w:rFonts w:ascii="Arial" w:hAnsi="Arial" w:cs="Arial"/>
          <w:sz w:val="20"/>
        </w:rPr>
        <w:t>60,1</w:t>
      </w:r>
      <w:r w:rsidRPr="00FD434E">
        <w:rPr>
          <w:rFonts w:ascii="Arial" w:hAnsi="Arial" w:cs="Arial"/>
          <w:sz w:val="20"/>
        </w:rPr>
        <w:tab/>
      </w:r>
      <w:r w:rsidRPr="005A336D">
        <w:rPr>
          <w:rFonts w:ascii="Arial" w:hAnsi="Arial" w:cs="Arial"/>
          <w:color w:val="000000" w:themeColor="text1"/>
          <w:sz w:val="20"/>
        </w:rPr>
        <w:t>-19,0</w:t>
      </w:r>
      <w:r w:rsidR="00663C99">
        <w:rPr>
          <w:rFonts w:ascii="Arial" w:hAnsi="Arial" w:cs="Arial"/>
          <w:color w:val="FF0000"/>
          <w:sz w:val="20"/>
        </w:rPr>
        <w:tab/>
      </w:r>
      <w:r w:rsidR="00663C99" w:rsidRPr="00663C99">
        <w:rPr>
          <w:rFonts w:ascii="Arial" w:hAnsi="Arial" w:cs="Arial"/>
          <w:color w:val="000000" w:themeColor="text1"/>
          <w:sz w:val="20"/>
        </w:rPr>
        <w:t>-3,9</w:t>
      </w:r>
    </w:p>
    <w:p w14:paraId="4177EDF8" w14:textId="03FDB026" w:rsidR="00FD434E" w:rsidRDefault="00FD434E" w:rsidP="00FD434E">
      <w:pPr>
        <w:tabs>
          <w:tab w:val="right" w:pos="3119"/>
          <w:tab w:val="right" w:pos="4962"/>
          <w:tab w:val="right" w:pos="7088"/>
        </w:tabs>
        <w:ind w:left="426"/>
        <w:jc w:val="both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Belgio</w:t>
      </w:r>
      <w:r>
        <w:rPr>
          <w:rFonts w:ascii="Arial" w:hAnsi="Arial" w:cs="Arial"/>
          <w:b/>
          <w:sz w:val="20"/>
        </w:rPr>
        <w:tab/>
      </w:r>
      <w:r w:rsidRPr="00FD434E">
        <w:rPr>
          <w:rFonts w:ascii="Arial" w:hAnsi="Arial" w:cs="Arial"/>
          <w:sz w:val="20"/>
        </w:rPr>
        <w:t>56,5</w:t>
      </w:r>
      <w:r w:rsidRPr="00FD434E">
        <w:rPr>
          <w:rFonts w:ascii="Arial" w:hAnsi="Arial" w:cs="Arial"/>
          <w:sz w:val="20"/>
        </w:rPr>
        <w:tab/>
      </w:r>
      <w:r w:rsidR="005A336D">
        <w:rPr>
          <w:rFonts w:ascii="Arial" w:hAnsi="Arial" w:cs="Arial"/>
          <w:sz w:val="20"/>
        </w:rPr>
        <w:t>+</w:t>
      </w:r>
      <w:r w:rsidRPr="00FD434E">
        <w:rPr>
          <w:rFonts w:ascii="Arial" w:hAnsi="Arial" w:cs="Arial"/>
          <w:sz w:val="20"/>
        </w:rPr>
        <w:t>18,4</w:t>
      </w:r>
      <w:r w:rsidR="00663C99">
        <w:rPr>
          <w:rFonts w:ascii="Arial" w:hAnsi="Arial" w:cs="Arial"/>
          <w:sz w:val="20"/>
        </w:rPr>
        <w:tab/>
      </w:r>
      <w:r w:rsidR="005A336D">
        <w:rPr>
          <w:rFonts w:ascii="Arial" w:hAnsi="Arial" w:cs="Arial"/>
          <w:sz w:val="20"/>
        </w:rPr>
        <w:t>+</w:t>
      </w:r>
      <w:r w:rsidR="00663C99">
        <w:rPr>
          <w:rFonts w:ascii="Arial" w:hAnsi="Arial" w:cs="Arial"/>
          <w:sz w:val="20"/>
        </w:rPr>
        <w:t>0,3</w:t>
      </w:r>
    </w:p>
    <w:p w14:paraId="2C183832" w14:textId="365B48D8" w:rsidR="00FD434E" w:rsidRDefault="00FD434E" w:rsidP="00FD434E">
      <w:pPr>
        <w:tabs>
          <w:tab w:val="right" w:pos="3119"/>
          <w:tab w:val="right" w:pos="4962"/>
          <w:tab w:val="right" w:pos="7088"/>
        </w:tabs>
        <w:ind w:left="426"/>
        <w:jc w:val="both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Austria</w:t>
      </w:r>
      <w:r>
        <w:rPr>
          <w:rFonts w:ascii="Arial" w:hAnsi="Arial" w:cs="Arial"/>
          <w:b/>
          <w:sz w:val="20"/>
        </w:rPr>
        <w:tab/>
      </w:r>
      <w:r w:rsidRPr="00FD434E">
        <w:rPr>
          <w:rFonts w:ascii="Arial" w:hAnsi="Arial" w:cs="Arial"/>
          <w:sz w:val="20"/>
        </w:rPr>
        <w:t>54,5</w:t>
      </w:r>
      <w:r w:rsidRPr="00FD434E">
        <w:rPr>
          <w:rFonts w:ascii="Arial" w:hAnsi="Arial" w:cs="Arial"/>
          <w:sz w:val="20"/>
        </w:rPr>
        <w:tab/>
      </w:r>
      <w:r w:rsidR="005A336D">
        <w:rPr>
          <w:rFonts w:ascii="Arial" w:hAnsi="Arial" w:cs="Arial"/>
          <w:sz w:val="20"/>
        </w:rPr>
        <w:t>+</w:t>
      </w:r>
      <w:r w:rsidRPr="00FD434E">
        <w:rPr>
          <w:rFonts w:ascii="Arial" w:hAnsi="Arial" w:cs="Arial"/>
          <w:sz w:val="20"/>
        </w:rPr>
        <w:t>36,6</w:t>
      </w:r>
      <w:r w:rsidR="00663C99">
        <w:rPr>
          <w:rFonts w:ascii="Arial" w:hAnsi="Arial" w:cs="Arial"/>
          <w:sz w:val="20"/>
        </w:rPr>
        <w:tab/>
      </w:r>
      <w:r w:rsidR="005A336D">
        <w:rPr>
          <w:rFonts w:ascii="Arial" w:hAnsi="Arial" w:cs="Arial"/>
          <w:sz w:val="20"/>
        </w:rPr>
        <w:t>+</w:t>
      </w:r>
      <w:r w:rsidR="00663C99">
        <w:rPr>
          <w:rFonts w:ascii="Arial" w:hAnsi="Arial" w:cs="Arial"/>
          <w:sz w:val="20"/>
        </w:rPr>
        <w:t>30,0</w:t>
      </w:r>
    </w:p>
    <w:p w14:paraId="0BDFEB82" w14:textId="77777777" w:rsidR="00663C99" w:rsidRDefault="00663C99" w:rsidP="00AF183E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14:paraId="6706524B" w14:textId="77777777" w:rsidR="005A336D" w:rsidRDefault="005A336D" w:rsidP="00AF183E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14:paraId="7890008D" w14:textId="77777777" w:rsidR="005A336D" w:rsidRDefault="005A336D" w:rsidP="00AF183E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14:paraId="47722459" w14:textId="77777777" w:rsidR="005A336D" w:rsidRPr="00FD434E" w:rsidRDefault="005A336D" w:rsidP="00AF183E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106E4F0F" w14:textId="77777777" w:rsidR="00AF183E" w:rsidRPr="00FD434E" w:rsidRDefault="00AF183E" w:rsidP="00AF183E">
      <w:pPr>
        <w:ind w:left="426"/>
        <w:rPr>
          <w:rFonts w:ascii="Arial" w:hAnsi="Arial" w:cs="Arial"/>
          <w:sz w:val="20"/>
        </w:rPr>
      </w:pPr>
    </w:p>
    <w:p w14:paraId="72DB9CEE" w14:textId="77777777" w:rsidR="00AF183E" w:rsidRPr="00FD434E" w:rsidRDefault="00AF183E" w:rsidP="00AF183E">
      <w:pPr>
        <w:tabs>
          <w:tab w:val="left" w:pos="2977"/>
          <w:tab w:val="left" w:pos="5670"/>
          <w:tab w:val="left" w:pos="6663"/>
        </w:tabs>
        <w:ind w:left="426"/>
        <w:jc w:val="both"/>
        <w:rPr>
          <w:rFonts w:ascii="Arial" w:hAnsi="Arial"/>
          <w:i/>
          <w:sz w:val="20"/>
        </w:rPr>
      </w:pPr>
      <w:r w:rsidRPr="00FD434E">
        <w:rPr>
          <w:rFonts w:ascii="Arial" w:hAnsi="Arial"/>
          <w:i/>
          <w:sz w:val="20"/>
        </w:rPr>
        <w:t>Per ulteriori informazioni:</w:t>
      </w:r>
    </w:p>
    <w:p w14:paraId="6E205649" w14:textId="77777777" w:rsidR="00AF183E" w:rsidRPr="00FD434E" w:rsidRDefault="00AF183E" w:rsidP="00AF183E">
      <w:pPr>
        <w:tabs>
          <w:tab w:val="left" w:pos="567"/>
        </w:tabs>
        <w:ind w:left="426"/>
        <w:jc w:val="both"/>
        <w:outlineLvl w:val="0"/>
        <w:rPr>
          <w:rFonts w:ascii="Arial" w:hAnsi="Arial"/>
          <w:b/>
          <w:sz w:val="20"/>
        </w:rPr>
      </w:pPr>
      <w:r w:rsidRPr="00FD434E">
        <w:rPr>
          <w:rFonts w:ascii="Arial" w:hAnsi="Arial"/>
          <w:b/>
          <w:sz w:val="20"/>
        </w:rPr>
        <w:t>Luca Rossetti</w:t>
      </w:r>
    </w:p>
    <w:p w14:paraId="1E22B546" w14:textId="2DBC3005" w:rsidR="00FD434E" w:rsidRPr="00FD434E" w:rsidRDefault="00AF183E" w:rsidP="00AF183E">
      <w:pPr>
        <w:tabs>
          <w:tab w:val="left" w:pos="560"/>
        </w:tabs>
        <w:ind w:left="426"/>
        <w:jc w:val="both"/>
        <w:outlineLvl w:val="0"/>
        <w:rPr>
          <w:rFonts w:ascii="Arial" w:hAnsi="Arial" w:cs="Arial"/>
          <w:sz w:val="20"/>
        </w:rPr>
      </w:pPr>
      <w:r w:rsidRPr="00FD434E">
        <w:rPr>
          <w:rFonts w:ascii="Arial" w:hAnsi="Arial"/>
          <w:sz w:val="20"/>
        </w:rPr>
        <w:t xml:space="preserve">+39 351 9098189 - </w:t>
      </w:r>
      <w:hyperlink r:id="rId8" w:history="1">
        <w:r w:rsidRPr="00AF183E">
          <w:rPr>
            <w:rStyle w:val="Collegamentoipertestuale"/>
            <w:rFonts w:ascii="Arial" w:hAnsi="Arial"/>
            <w:color w:val="auto"/>
            <w:sz w:val="20"/>
            <w:u w:val="none"/>
          </w:rPr>
          <w:t>press@acimall.com</w:t>
        </w:r>
      </w:hyperlink>
    </w:p>
    <w:sectPr w:rsidR="00FD434E" w:rsidRPr="00FD434E" w:rsidSect="00AF183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991" w:bottom="1134" w:left="1418" w:header="720" w:footer="40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1AD9A" w14:textId="77777777" w:rsidR="00663C99" w:rsidRDefault="00663C99">
      <w:r>
        <w:separator/>
      </w:r>
    </w:p>
  </w:endnote>
  <w:endnote w:type="continuationSeparator" w:id="0">
    <w:p w14:paraId="4E6DDC9F" w14:textId="77777777" w:rsidR="00663C99" w:rsidRDefault="00663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75BF6" w14:textId="77777777" w:rsidR="00663C99" w:rsidRDefault="00663C9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7FA7CA" w14:textId="77777777" w:rsidR="00663C99" w:rsidRDefault="00663C99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B5DE1" w14:textId="77777777" w:rsidR="00663C99" w:rsidRDefault="00663C99">
    <w:pPr>
      <w:pStyle w:val="Pidipagina"/>
      <w:framePr w:wrap="around" w:vAnchor="text" w:hAnchor="page" w:x="5488" w:y="524"/>
      <w:jc w:val="center"/>
      <w:rPr>
        <w:rStyle w:val="Numeropagina"/>
      </w:rPr>
    </w:pPr>
  </w:p>
  <w:p w14:paraId="6A2D504F" w14:textId="77777777" w:rsidR="00663C99" w:rsidRDefault="00663C99">
    <w:pPr>
      <w:pStyle w:val="Pidipagina"/>
      <w:ind w:right="360"/>
    </w:pPr>
    <w:r>
      <w:t xml:space="preserve">   </w:t>
    </w:r>
  </w:p>
  <w:p w14:paraId="676EE327" w14:textId="196C1161" w:rsidR="00663C99" w:rsidRDefault="00663C99">
    <w:pPr>
      <w:pStyle w:val="Pidipagina"/>
      <w:ind w:right="360"/>
    </w:pPr>
    <w:r>
      <w:t xml:space="preserve">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BB1D6" w14:textId="77777777" w:rsidR="00663C99" w:rsidRDefault="00663C99">
    <w:pPr>
      <w:pStyle w:val="Pidipagina"/>
      <w:tabs>
        <w:tab w:val="clear" w:pos="4819"/>
        <w:tab w:val="clear" w:pos="9638"/>
        <w:tab w:val="left" w:pos="9000"/>
      </w:tabs>
      <w:ind w:left="480"/>
      <w:jc w:val="both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D8120" w14:textId="77777777" w:rsidR="00663C99" w:rsidRDefault="00663C99">
      <w:r>
        <w:separator/>
      </w:r>
    </w:p>
  </w:footnote>
  <w:footnote w:type="continuationSeparator" w:id="0">
    <w:p w14:paraId="64B36DE4" w14:textId="77777777" w:rsidR="00663C99" w:rsidRDefault="00663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0CE48" w14:textId="6DC56FCB" w:rsidR="00663C99" w:rsidRDefault="00663C99">
    <w:pPr>
      <w:pStyle w:val="Intestazione"/>
      <w:ind w:left="360"/>
    </w:pPr>
  </w:p>
  <w:p w14:paraId="302658E1" w14:textId="77777777" w:rsidR="00663C99" w:rsidRDefault="00663C99">
    <w:pPr>
      <w:pStyle w:val="Intestazione"/>
      <w:ind w:left="360"/>
    </w:pPr>
  </w:p>
  <w:p w14:paraId="4A2C7678" w14:textId="77777777" w:rsidR="00663C99" w:rsidRDefault="00663C99">
    <w:pPr>
      <w:pStyle w:val="Intestazione"/>
      <w:ind w:lef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8B4B7" w14:textId="39D9834C" w:rsidR="00663C99" w:rsidRDefault="00663C99">
    <w:pPr>
      <w:pStyle w:val="Intestazione"/>
    </w:pPr>
    <w:r>
      <w:rPr>
        <w:sz w:val="22"/>
      </w:rPr>
      <w:t xml:space="preserve">     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9A4C2B"/>
    <w:multiLevelType w:val="hybridMultilevel"/>
    <w:tmpl w:val="C0C490D8"/>
    <w:lvl w:ilvl="0" w:tplc="1E5CF8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E1A03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E18E0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A6CE9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AD24A9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0C88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E64CA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014E4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223CC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75602B59"/>
    <w:multiLevelType w:val="singleLevel"/>
    <w:tmpl w:val="055A93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207850487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43" w:hanging="283"/>
        </w:pPr>
        <w:rPr>
          <w:rFonts w:ascii="Symbol" w:hAnsi="Symbol" w:hint="default"/>
        </w:rPr>
      </w:lvl>
    </w:lvlOverride>
  </w:num>
  <w:num w:numId="2" w16cid:durableId="877669576">
    <w:abstractNumId w:val="2"/>
  </w:num>
  <w:num w:numId="3" w16cid:durableId="2017069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09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E31"/>
    <w:rsid w:val="0001539F"/>
    <w:rsid w:val="0001721B"/>
    <w:rsid w:val="00087FD9"/>
    <w:rsid w:val="00095C56"/>
    <w:rsid w:val="000A33AA"/>
    <w:rsid w:val="000B731F"/>
    <w:rsid w:val="000C05B7"/>
    <w:rsid w:val="000C2E18"/>
    <w:rsid w:val="000C4AD3"/>
    <w:rsid w:val="000C5C5F"/>
    <w:rsid w:val="000E417A"/>
    <w:rsid w:val="000E4BEE"/>
    <w:rsid w:val="000E661F"/>
    <w:rsid w:val="000E7459"/>
    <w:rsid w:val="000F4C0F"/>
    <w:rsid w:val="00104F31"/>
    <w:rsid w:val="001258BE"/>
    <w:rsid w:val="00130D7E"/>
    <w:rsid w:val="00140D22"/>
    <w:rsid w:val="00142024"/>
    <w:rsid w:val="001670C8"/>
    <w:rsid w:val="001702AD"/>
    <w:rsid w:val="0017075B"/>
    <w:rsid w:val="00174464"/>
    <w:rsid w:val="0018053C"/>
    <w:rsid w:val="001812CA"/>
    <w:rsid w:val="00181DE3"/>
    <w:rsid w:val="001956B8"/>
    <w:rsid w:val="001A615F"/>
    <w:rsid w:val="001B28A8"/>
    <w:rsid w:val="001B415A"/>
    <w:rsid w:val="001B424B"/>
    <w:rsid w:val="001B57D7"/>
    <w:rsid w:val="001C421C"/>
    <w:rsid w:val="001D79A8"/>
    <w:rsid w:val="001E067F"/>
    <w:rsid w:val="001E6154"/>
    <w:rsid w:val="001E72A3"/>
    <w:rsid w:val="001F0D52"/>
    <w:rsid w:val="001F51B2"/>
    <w:rsid w:val="002042B0"/>
    <w:rsid w:val="00207FBA"/>
    <w:rsid w:val="00210CF8"/>
    <w:rsid w:val="002178A4"/>
    <w:rsid w:val="00224AB3"/>
    <w:rsid w:val="00232B02"/>
    <w:rsid w:val="002545BF"/>
    <w:rsid w:val="002632E5"/>
    <w:rsid w:val="002650C8"/>
    <w:rsid w:val="00272082"/>
    <w:rsid w:val="00277B4A"/>
    <w:rsid w:val="00286B70"/>
    <w:rsid w:val="00291DE3"/>
    <w:rsid w:val="00294EDD"/>
    <w:rsid w:val="002A632E"/>
    <w:rsid w:val="002A753A"/>
    <w:rsid w:val="002F11D9"/>
    <w:rsid w:val="002F5769"/>
    <w:rsid w:val="00304533"/>
    <w:rsid w:val="003056E4"/>
    <w:rsid w:val="00305B4C"/>
    <w:rsid w:val="00307139"/>
    <w:rsid w:val="00313979"/>
    <w:rsid w:val="00326C06"/>
    <w:rsid w:val="0034316E"/>
    <w:rsid w:val="00345D05"/>
    <w:rsid w:val="00347155"/>
    <w:rsid w:val="00365C65"/>
    <w:rsid w:val="00366693"/>
    <w:rsid w:val="00366E20"/>
    <w:rsid w:val="00381921"/>
    <w:rsid w:val="003838AD"/>
    <w:rsid w:val="003A73F0"/>
    <w:rsid w:val="003B059D"/>
    <w:rsid w:val="003B109F"/>
    <w:rsid w:val="003D3CCC"/>
    <w:rsid w:val="003F1E14"/>
    <w:rsid w:val="003F371B"/>
    <w:rsid w:val="0040219C"/>
    <w:rsid w:val="0040679A"/>
    <w:rsid w:val="00406AB7"/>
    <w:rsid w:val="00416C21"/>
    <w:rsid w:val="00434C7E"/>
    <w:rsid w:val="00440FDD"/>
    <w:rsid w:val="004525E1"/>
    <w:rsid w:val="004559D3"/>
    <w:rsid w:val="00463561"/>
    <w:rsid w:val="00471328"/>
    <w:rsid w:val="004720FA"/>
    <w:rsid w:val="004B203B"/>
    <w:rsid w:val="004B3B06"/>
    <w:rsid w:val="004E3E0D"/>
    <w:rsid w:val="004E3F45"/>
    <w:rsid w:val="004E619F"/>
    <w:rsid w:val="004E64E2"/>
    <w:rsid w:val="004F1C0F"/>
    <w:rsid w:val="00524EB0"/>
    <w:rsid w:val="00532AB7"/>
    <w:rsid w:val="00536329"/>
    <w:rsid w:val="00544E4C"/>
    <w:rsid w:val="00553F39"/>
    <w:rsid w:val="00556E60"/>
    <w:rsid w:val="00566630"/>
    <w:rsid w:val="00583DA9"/>
    <w:rsid w:val="00585084"/>
    <w:rsid w:val="005A2C26"/>
    <w:rsid w:val="005A336D"/>
    <w:rsid w:val="005B514B"/>
    <w:rsid w:val="005C3375"/>
    <w:rsid w:val="005C788E"/>
    <w:rsid w:val="005D4C94"/>
    <w:rsid w:val="005D6503"/>
    <w:rsid w:val="005D6F46"/>
    <w:rsid w:val="005D7B5B"/>
    <w:rsid w:val="005E5302"/>
    <w:rsid w:val="005F3EEA"/>
    <w:rsid w:val="005F5DB2"/>
    <w:rsid w:val="0063567C"/>
    <w:rsid w:val="00635F6C"/>
    <w:rsid w:val="006504E9"/>
    <w:rsid w:val="00663C99"/>
    <w:rsid w:val="0066775B"/>
    <w:rsid w:val="00671AAE"/>
    <w:rsid w:val="0068221D"/>
    <w:rsid w:val="006826C3"/>
    <w:rsid w:val="00683168"/>
    <w:rsid w:val="0069229C"/>
    <w:rsid w:val="006A64E2"/>
    <w:rsid w:val="006B1101"/>
    <w:rsid w:val="006C02B5"/>
    <w:rsid w:val="00705D68"/>
    <w:rsid w:val="007122E6"/>
    <w:rsid w:val="00720B7D"/>
    <w:rsid w:val="00724BEA"/>
    <w:rsid w:val="00736007"/>
    <w:rsid w:val="007443A2"/>
    <w:rsid w:val="00760EDC"/>
    <w:rsid w:val="007611D0"/>
    <w:rsid w:val="00773075"/>
    <w:rsid w:val="00782761"/>
    <w:rsid w:val="00786BB1"/>
    <w:rsid w:val="007A6D51"/>
    <w:rsid w:val="007B2DBD"/>
    <w:rsid w:val="007B3109"/>
    <w:rsid w:val="007B4E57"/>
    <w:rsid w:val="007B72D5"/>
    <w:rsid w:val="007D28CA"/>
    <w:rsid w:val="007E06BB"/>
    <w:rsid w:val="007E5480"/>
    <w:rsid w:val="00800F6A"/>
    <w:rsid w:val="0080513A"/>
    <w:rsid w:val="00807D67"/>
    <w:rsid w:val="00840088"/>
    <w:rsid w:val="00840B4A"/>
    <w:rsid w:val="00865C7A"/>
    <w:rsid w:val="0087060B"/>
    <w:rsid w:val="0088052D"/>
    <w:rsid w:val="008850FB"/>
    <w:rsid w:val="00891675"/>
    <w:rsid w:val="008A5509"/>
    <w:rsid w:val="008C261D"/>
    <w:rsid w:val="008C32CC"/>
    <w:rsid w:val="008C3ACA"/>
    <w:rsid w:val="008E444A"/>
    <w:rsid w:val="008E5DBF"/>
    <w:rsid w:val="008E606A"/>
    <w:rsid w:val="008F01AF"/>
    <w:rsid w:val="008F4FEF"/>
    <w:rsid w:val="00901E8C"/>
    <w:rsid w:val="009024DF"/>
    <w:rsid w:val="00904BBD"/>
    <w:rsid w:val="00905D70"/>
    <w:rsid w:val="00917407"/>
    <w:rsid w:val="009201D1"/>
    <w:rsid w:val="00927BEF"/>
    <w:rsid w:val="00932B59"/>
    <w:rsid w:val="00932BC6"/>
    <w:rsid w:val="00941E08"/>
    <w:rsid w:val="00946C6A"/>
    <w:rsid w:val="00947D81"/>
    <w:rsid w:val="00960785"/>
    <w:rsid w:val="009703DB"/>
    <w:rsid w:val="00972D3C"/>
    <w:rsid w:val="00975B1A"/>
    <w:rsid w:val="0097719C"/>
    <w:rsid w:val="00985C7E"/>
    <w:rsid w:val="00990459"/>
    <w:rsid w:val="00991CBC"/>
    <w:rsid w:val="00992E35"/>
    <w:rsid w:val="00993D0D"/>
    <w:rsid w:val="009C5B81"/>
    <w:rsid w:val="009C6F87"/>
    <w:rsid w:val="009D300B"/>
    <w:rsid w:val="009E5E5C"/>
    <w:rsid w:val="00A018A0"/>
    <w:rsid w:val="00A029E7"/>
    <w:rsid w:val="00A108DB"/>
    <w:rsid w:val="00A24050"/>
    <w:rsid w:val="00A24489"/>
    <w:rsid w:val="00A2581D"/>
    <w:rsid w:val="00A31A41"/>
    <w:rsid w:val="00A60694"/>
    <w:rsid w:val="00A76779"/>
    <w:rsid w:val="00A86E2C"/>
    <w:rsid w:val="00AB77FB"/>
    <w:rsid w:val="00AE006E"/>
    <w:rsid w:val="00AE1B9E"/>
    <w:rsid w:val="00AE51EF"/>
    <w:rsid w:val="00AF183E"/>
    <w:rsid w:val="00AF50EF"/>
    <w:rsid w:val="00B024BA"/>
    <w:rsid w:val="00B0713B"/>
    <w:rsid w:val="00B07D0B"/>
    <w:rsid w:val="00B329E2"/>
    <w:rsid w:val="00B33B48"/>
    <w:rsid w:val="00B33F4A"/>
    <w:rsid w:val="00B47656"/>
    <w:rsid w:val="00B50A3F"/>
    <w:rsid w:val="00B657A0"/>
    <w:rsid w:val="00B65A3E"/>
    <w:rsid w:val="00B72A34"/>
    <w:rsid w:val="00B7327C"/>
    <w:rsid w:val="00B77080"/>
    <w:rsid w:val="00B9584F"/>
    <w:rsid w:val="00BC3417"/>
    <w:rsid w:val="00BC547E"/>
    <w:rsid w:val="00BD40BD"/>
    <w:rsid w:val="00BD4D44"/>
    <w:rsid w:val="00BD4E9A"/>
    <w:rsid w:val="00BF2118"/>
    <w:rsid w:val="00BF35BC"/>
    <w:rsid w:val="00C04852"/>
    <w:rsid w:val="00C07008"/>
    <w:rsid w:val="00C10DE6"/>
    <w:rsid w:val="00C12950"/>
    <w:rsid w:val="00C313EC"/>
    <w:rsid w:val="00C41993"/>
    <w:rsid w:val="00C435AF"/>
    <w:rsid w:val="00C441DA"/>
    <w:rsid w:val="00C54EF3"/>
    <w:rsid w:val="00C55169"/>
    <w:rsid w:val="00C60722"/>
    <w:rsid w:val="00C639FC"/>
    <w:rsid w:val="00C91D54"/>
    <w:rsid w:val="00C96A6C"/>
    <w:rsid w:val="00CB70B1"/>
    <w:rsid w:val="00CE4D8E"/>
    <w:rsid w:val="00CE6324"/>
    <w:rsid w:val="00CE7C6D"/>
    <w:rsid w:val="00CF0739"/>
    <w:rsid w:val="00D0397B"/>
    <w:rsid w:val="00D04850"/>
    <w:rsid w:val="00D0677A"/>
    <w:rsid w:val="00D10A5D"/>
    <w:rsid w:val="00D16C13"/>
    <w:rsid w:val="00D32BC8"/>
    <w:rsid w:val="00D42442"/>
    <w:rsid w:val="00D47E18"/>
    <w:rsid w:val="00D7134F"/>
    <w:rsid w:val="00D91B3F"/>
    <w:rsid w:val="00DB7438"/>
    <w:rsid w:val="00DC53CF"/>
    <w:rsid w:val="00DD038E"/>
    <w:rsid w:val="00DE3BC7"/>
    <w:rsid w:val="00DE3DFA"/>
    <w:rsid w:val="00DF2A1E"/>
    <w:rsid w:val="00E04E31"/>
    <w:rsid w:val="00E07556"/>
    <w:rsid w:val="00E12D44"/>
    <w:rsid w:val="00E2671D"/>
    <w:rsid w:val="00E26F68"/>
    <w:rsid w:val="00E452B2"/>
    <w:rsid w:val="00E6024D"/>
    <w:rsid w:val="00E60591"/>
    <w:rsid w:val="00E65415"/>
    <w:rsid w:val="00E655B9"/>
    <w:rsid w:val="00E66C6E"/>
    <w:rsid w:val="00EA05AD"/>
    <w:rsid w:val="00ED118D"/>
    <w:rsid w:val="00EF3187"/>
    <w:rsid w:val="00F00863"/>
    <w:rsid w:val="00F01932"/>
    <w:rsid w:val="00F15D95"/>
    <w:rsid w:val="00F259BE"/>
    <w:rsid w:val="00F30178"/>
    <w:rsid w:val="00F3539D"/>
    <w:rsid w:val="00F379D8"/>
    <w:rsid w:val="00F64584"/>
    <w:rsid w:val="00F76DF4"/>
    <w:rsid w:val="00FB5D0B"/>
    <w:rsid w:val="00FD043C"/>
    <w:rsid w:val="00FD434E"/>
    <w:rsid w:val="00FF2E86"/>
    <w:rsid w:val="00FF3313"/>
    <w:rsid w:val="00FF7E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 fillcolor="white" stroke="f">
      <v:fill color="white"/>
      <v:stroke on="f"/>
    </o:shapedefaults>
    <o:shapelayout v:ext="edit">
      <o:idmap v:ext="edit" data="1"/>
    </o:shapelayout>
  </w:shapeDefaults>
  <w:doNotEmbedSmartTags/>
  <w:decimalSymbol w:val=","/>
  <w:listSeparator w:val=";"/>
  <w14:docId w14:val="62284E42"/>
  <w15:docId w15:val="{2C8B193D-D2B8-4744-AFE9-17A15121F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9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F11D9"/>
    <w:rPr>
      <w:sz w:val="24"/>
    </w:rPr>
  </w:style>
  <w:style w:type="paragraph" w:styleId="Titolo1">
    <w:name w:val="heading 1"/>
    <w:basedOn w:val="Normale"/>
    <w:next w:val="Normale"/>
    <w:qFormat/>
    <w:rsid w:val="002F11D9"/>
    <w:pPr>
      <w:keepNext/>
      <w:outlineLvl w:val="0"/>
    </w:pPr>
    <w:rPr>
      <w:rFonts w:ascii="Helvetica" w:hAnsi="Helvetica"/>
      <w:b/>
      <w:sz w:val="16"/>
    </w:rPr>
  </w:style>
  <w:style w:type="paragraph" w:styleId="Titolo2">
    <w:name w:val="heading 2"/>
    <w:basedOn w:val="Normale"/>
    <w:next w:val="Normale"/>
    <w:qFormat/>
    <w:rsid w:val="002F11D9"/>
    <w:pPr>
      <w:keepNext/>
      <w:spacing w:before="240" w:after="60"/>
      <w:outlineLvl w:val="1"/>
    </w:pPr>
    <w:rPr>
      <w:rFonts w:ascii="Helvetica" w:hAnsi="Helvetica"/>
      <w:b/>
      <w:i/>
    </w:rPr>
  </w:style>
  <w:style w:type="paragraph" w:styleId="Titolo3">
    <w:name w:val="heading 3"/>
    <w:basedOn w:val="Normale"/>
    <w:next w:val="Normale"/>
    <w:qFormat/>
    <w:rsid w:val="002F11D9"/>
    <w:pPr>
      <w:keepNext/>
      <w:jc w:val="both"/>
      <w:outlineLvl w:val="2"/>
    </w:pPr>
    <w:rPr>
      <w:b/>
      <w:sz w:val="28"/>
    </w:rPr>
  </w:style>
  <w:style w:type="paragraph" w:styleId="Titolo4">
    <w:name w:val="heading 4"/>
    <w:basedOn w:val="Normale"/>
    <w:next w:val="Normale"/>
    <w:qFormat/>
    <w:rsid w:val="002F11D9"/>
    <w:pPr>
      <w:keepNext/>
      <w:ind w:left="480"/>
      <w:outlineLvl w:val="3"/>
    </w:pPr>
    <w:rPr>
      <w:rFonts w:ascii="Arial" w:hAnsi="Arial"/>
      <w:b/>
      <w:sz w:val="22"/>
    </w:rPr>
  </w:style>
  <w:style w:type="paragraph" w:styleId="Titolo5">
    <w:name w:val="heading 5"/>
    <w:basedOn w:val="Normale"/>
    <w:next w:val="Normale"/>
    <w:qFormat/>
    <w:rsid w:val="002F11D9"/>
    <w:pPr>
      <w:keepNext/>
      <w:ind w:left="480"/>
      <w:jc w:val="both"/>
      <w:outlineLvl w:val="4"/>
    </w:pPr>
    <w:rPr>
      <w:rFonts w:ascii="Arial" w:hAnsi="Arial"/>
      <w:b/>
      <w:color w:val="000000"/>
      <w:sz w:val="22"/>
    </w:rPr>
  </w:style>
  <w:style w:type="paragraph" w:styleId="Titolo6">
    <w:name w:val="heading 6"/>
    <w:basedOn w:val="Normale"/>
    <w:next w:val="Normale"/>
    <w:qFormat/>
    <w:rsid w:val="002F11D9"/>
    <w:pPr>
      <w:keepNext/>
      <w:jc w:val="both"/>
      <w:outlineLvl w:val="5"/>
    </w:pPr>
    <w:rPr>
      <w:rFonts w:eastAsia="Arial Unicode MS"/>
    </w:rPr>
  </w:style>
  <w:style w:type="paragraph" w:styleId="Titolo7">
    <w:name w:val="heading 7"/>
    <w:basedOn w:val="Normale"/>
    <w:next w:val="Normale"/>
    <w:qFormat/>
    <w:rsid w:val="002F11D9"/>
    <w:pPr>
      <w:keepNext/>
      <w:tabs>
        <w:tab w:val="left" w:pos="3480"/>
        <w:tab w:val="left" w:pos="5640"/>
      </w:tabs>
      <w:ind w:left="480"/>
      <w:jc w:val="both"/>
      <w:outlineLvl w:val="6"/>
    </w:pPr>
    <w:rPr>
      <w:rFonts w:ascii="Arial" w:hAnsi="Arial"/>
      <w:b/>
      <w:sz w:val="20"/>
    </w:rPr>
  </w:style>
  <w:style w:type="paragraph" w:styleId="Titolo8">
    <w:name w:val="heading 8"/>
    <w:basedOn w:val="Normale"/>
    <w:next w:val="Normale"/>
    <w:qFormat/>
    <w:rsid w:val="002F11D9"/>
    <w:pPr>
      <w:keepNext/>
      <w:ind w:left="480"/>
      <w:jc w:val="both"/>
      <w:outlineLvl w:val="7"/>
    </w:pPr>
    <w:rPr>
      <w:rFonts w:ascii="Arial" w:hAnsi="Arial"/>
      <w:b/>
      <w:color w:val="FF0000"/>
    </w:rPr>
  </w:style>
  <w:style w:type="paragraph" w:styleId="Titolo9">
    <w:name w:val="heading 9"/>
    <w:basedOn w:val="Normale"/>
    <w:next w:val="Normale"/>
    <w:qFormat/>
    <w:rsid w:val="002F11D9"/>
    <w:pPr>
      <w:keepNext/>
      <w:tabs>
        <w:tab w:val="left" w:pos="3480"/>
        <w:tab w:val="left" w:pos="5640"/>
      </w:tabs>
      <w:ind w:left="480"/>
      <w:jc w:val="both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F11D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F11D9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  <w:jc w:val="center"/>
    </w:pPr>
    <w:rPr>
      <w:rFonts w:ascii="Arial" w:hAnsi="Arial"/>
      <w:b/>
      <w:sz w:val="28"/>
      <w:u w:val="single"/>
    </w:rPr>
  </w:style>
  <w:style w:type="paragraph" w:styleId="Corpotesto">
    <w:name w:val="Body Text"/>
    <w:basedOn w:val="Normale"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  <w:jc w:val="both"/>
    </w:pPr>
    <w:rPr>
      <w:rFonts w:ascii="Arial" w:hAnsi="Arial"/>
      <w:sz w:val="28"/>
    </w:rPr>
  </w:style>
  <w:style w:type="paragraph" w:styleId="Corpodeltesto2">
    <w:name w:val="Body Text 2"/>
    <w:basedOn w:val="Normale"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</w:pPr>
    <w:rPr>
      <w:rFonts w:ascii="Arial" w:hAnsi="Arial"/>
      <w:sz w:val="28"/>
    </w:rPr>
  </w:style>
  <w:style w:type="paragraph" w:customStyle="1" w:styleId="L">
    <w:name w:val="L"/>
    <w:basedOn w:val="Normale"/>
    <w:rsid w:val="002F11D9"/>
    <w:pPr>
      <w:ind w:right="2126"/>
      <w:jc w:val="both"/>
    </w:pPr>
    <w:rPr>
      <w:rFonts w:ascii="Arial" w:hAnsi="Arial"/>
    </w:rPr>
  </w:style>
  <w:style w:type="character" w:styleId="Numeropagina">
    <w:name w:val="page number"/>
    <w:basedOn w:val="Carpredefinitoparagrafo"/>
    <w:rsid w:val="002F11D9"/>
  </w:style>
  <w:style w:type="character" w:styleId="Collegamentoipertestuale">
    <w:name w:val="Hyperlink"/>
    <w:basedOn w:val="Carpredefinitoparagrafo"/>
    <w:rsid w:val="002F11D9"/>
    <w:rPr>
      <w:color w:val="0000FF"/>
      <w:u w:val="single"/>
    </w:rPr>
  </w:style>
  <w:style w:type="paragraph" w:styleId="Mappadocumento">
    <w:name w:val="Document Map"/>
    <w:basedOn w:val="Normale"/>
    <w:semiHidden/>
    <w:rsid w:val="002F11D9"/>
    <w:pPr>
      <w:shd w:val="clear" w:color="auto" w:fill="000080"/>
    </w:pPr>
    <w:rPr>
      <w:rFonts w:ascii="Geneva" w:hAnsi="Geneva"/>
    </w:rPr>
  </w:style>
  <w:style w:type="paragraph" w:styleId="Testodelblocco">
    <w:name w:val="Block Text"/>
    <w:basedOn w:val="Normale"/>
    <w:rsid w:val="002F11D9"/>
    <w:pPr>
      <w:ind w:left="360" w:right="-82"/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rsid w:val="002F11D9"/>
    <w:pPr>
      <w:ind w:left="360"/>
      <w:jc w:val="both"/>
    </w:pPr>
    <w:rPr>
      <w:rFonts w:ascii="Arial" w:hAnsi="Arial"/>
      <w:sz w:val="22"/>
    </w:rPr>
  </w:style>
  <w:style w:type="paragraph" w:styleId="Corpodeltesto3">
    <w:name w:val="Body Text 3"/>
    <w:basedOn w:val="Normale"/>
    <w:rsid w:val="002F11D9"/>
    <w:pPr>
      <w:jc w:val="both"/>
    </w:pPr>
    <w:rPr>
      <w:rFonts w:ascii="Arial" w:hAnsi="Arial"/>
      <w:color w:val="000000"/>
      <w:sz w:val="22"/>
    </w:rPr>
  </w:style>
  <w:style w:type="paragraph" w:styleId="Rientrocorpodeltesto2">
    <w:name w:val="Body Text Indent 2"/>
    <w:basedOn w:val="Normale"/>
    <w:rsid w:val="002F11D9"/>
    <w:pPr>
      <w:ind w:left="480"/>
      <w:jc w:val="both"/>
    </w:pPr>
    <w:rPr>
      <w:rFonts w:ascii="Arial" w:hAnsi="Arial"/>
      <w:color w:val="000000"/>
      <w:sz w:val="22"/>
    </w:rPr>
  </w:style>
  <w:style w:type="paragraph" w:styleId="Rientrocorpodeltesto3">
    <w:name w:val="Body Text Indent 3"/>
    <w:basedOn w:val="Normale"/>
    <w:rsid w:val="002F11D9"/>
    <w:pPr>
      <w:ind w:left="480"/>
      <w:jc w:val="both"/>
    </w:pPr>
    <w:rPr>
      <w:rFonts w:ascii="Arial" w:hAnsi="Arial"/>
      <w:sz w:val="20"/>
    </w:rPr>
  </w:style>
  <w:style w:type="paragraph" w:styleId="Sottotitolo">
    <w:name w:val="Subtitle"/>
    <w:basedOn w:val="Normale"/>
    <w:qFormat/>
    <w:rsid w:val="002F11D9"/>
    <w:pPr>
      <w:spacing w:after="60"/>
      <w:jc w:val="center"/>
      <w:outlineLvl w:val="1"/>
    </w:pPr>
    <w:rPr>
      <w:rFonts w:ascii="Arial" w:hAnsi="Arial"/>
    </w:rPr>
  </w:style>
  <w:style w:type="paragraph" w:styleId="Testofumetto">
    <w:name w:val="Balloon Text"/>
    <w:basedOn w:val="Normale"/>
    <w:semiHidden/>
    <w:rsid w:val="00E04E31"/>
    <w:rPr>
      <w:rFonts w:ascii="Lucida Grande" w:hAnsi="Lucida Grande"/>
      <w:sz w:val="18"/>
      <w:szCs w:val="18"/>
    </w:rPr>
  </w:style>
  <w:style w:type="character" w:customStyle="1" w:styleId="col1">
    <w:name w:val="col1"/>
    <w:basedOn w:val="Carpredefinitoparagrafo"/>
    <w:rsid w:val="00E14275"/>
  </w:style>
  <w:style w:type="paragraph" w:styleId="Nessunaspaziatura">
    <w:name w:val="No Spacing"/>
    <w:uiPriority w:val="1"/>
    <w:semiHidden/>
    <w:qFormat/>
    <w:rsid w:val="00DA137C"/>
    <w:rPr>
      <w:rFonts w:ascii="Calibri" w:eastAsia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1131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NormaleWeb">
    <w:name w:val="Normal (Web)"/>
    <w:basedOn w:val="Normale"/>
    <w:uiPriority w:val="99"/>
    <w:rsid w:val="00254CF9"/>
    <w:pPr>
      <w:spacing w:beforeLines="1" w:afterLines="1"/>
    </w:pPr>
    <w:rPr>
      <w:rFonts w:ascii="Times" w:eastAsia="Cambria" w:hAnsi="Time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2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acimall.com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fax-acimal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fax-acimall.dot</Template>
  <TotalTime>2</TotalTime>
  <Pages>2</Pages>
  <Words>921</Words>
  <Characters>5252</Characters>
  <Application>Microsoft Office Word</Application>
  <DocSecurity>0</DocSecurity>
  <Lines>43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Associazione costruttori</vt:lpstr>
      <vt:lpstr>Associazione costruttori</vt:lpstr>
    </vt:vector>
  </TitlesOfParts>
  <Company/>
  <LinksUpToDate>false</LinksUpToDate>
  <CharactersWithSpaces>6161</CharactersWithSpaces>
  <SharedDoc>false</SharedDoc>
  <HLinks>
    <vt:vector size="24" baseType="variant">
      <vt:variant>
        <vt:i4>983080</vt:i4>
      </vt:variant>
      <vt:variant>
        <vt:i4>0</vt:i4>
      </vt:variant>
      <vt:variant>
        <vt:i4>0</vt:i4>
      </vt:variant>
      <vt:variant>
        <vt:i4>5</vt:i4>
      </vt:variant>
      <vt:variant>
        <vt:lpwstr>mailto:press@acimall.com</vt:lpwstr>
      </vt:variant>
      <vt:variant>
        <vt:lpwstr/>
      </vt:variant>
      <vt:variant>
        <vt:i4>8126491</vt:i4>
      </vt:variant>
      <vt:variant>
        <vt:i4>6198</vt:i4>
      </vt:variant>
      <vt:variant>
        <vt:i4>1026</vt:i4>
      </vt:variant>
      <vt:variant>
        <vt:i4>1</vt:i4>
      </vt:variant>
      <vt:variant>
        <vt:lpwstr>ACIMALL carta intestata</vt:lpwstr>
      </vt:variant>
      <vt:variant>
        <vt:lpwstr/>
      </vt:variant>
      <vt:variant>
        <vt:i4>6291547</vt:i4>
      </vt:variant>
      <vt:variant>
        <vt:i4>6228</vt:i4>
      </vt:variant>
      <vt:variant>
        <vt:i4>1027</vt:i4>
      </vt:variant>
      <vt:variant>
        <vt:i4>1</vt:i4>
      </vt:variant>
      <vt:variant>
        <vt:lpwstr>LOGO_CONFINDUSTRIA</vt:lpwstr>
      </vt:variant>
      <vt:variant>
        <vt:lpwstr/>
      </vt:variant>
      <vt:variant>
        <vt:i4>8126491</vt:i4>
      </vt:variant>
      <vt:variant>
        <vt:i4>6239</vt:i4>
      </vt:variant>
      <vt:variant>
        <vt:i4>1025</vt:i4>
      </vt:variant>
      <vt:variant>
        <vt:i4>1</vt:i4>
      </vt:variant>
      <vt:variant>
        <vt:lpwstr>ACIMALL carta intestata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costruttori</dc:title>
  <dc:subject/>
  <dc:creator>. .</dc:creator>
  <cp:keywords/>
  <cp:lastModifiedBy>Piero Borroni</cp:lastModifiedBy>
  <cp:revision>2</cp:revision>
  <cp:lastPrinted>2022-05-05T08:21:00Z</cp:lastPrinted>
  <dcterms:created xsi:type="dcterms:W3CDTF">2022-05-09T14:46:00Z</dcterms:created>
  <dcterms:modified xsi:type="dcterms:W3CDTF">2022-05-09T14:46:00Z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-1843729638</vt:i4>
  </property>
  <property fmtid="{D5CDD505-2E9C-101B-9397-08002B2CF9AE}" pid="3" name="_EmailSubject">
    <vt:lpwstr>COMUNICATO STAMPA 5/2003</vt:lpwstr>
  </property>
  <property fmtid="{D5CDD505-2E9C-101B-9397-08002B2CF9AE}" pid="4" name="_AuthorEmail">
    <vt:lpwstr>LC@Costalev.com</vt:lpwstr>
  </property>
  <property fmtid="{D5CDD505-2E9C-101B-9397-08002B2CF9AE}" pid="5" name="_AuthorEmailDisplayName">
    <vt:lpwstr>Luciano Costa</vt:lpwstr>
  </property>
  <property fmtid="{D5CDD505-2E9C-101B-9397-08002B2CF9AE}" pid="6" name="_ReviewingToolsShownOnce">
    <vt:lpwstr/>
  </property>
</Properties>
</file>