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026A53">
        <w:trPr>
          <w:trHeight w:val="540"/>
        </w:trPr>
        <w:tc>
          <w:tcPr>
            <w:tcW w:w="3184" w:type="dxa"/>
          </w:tcPr>
          <w:p w14:paraId="4A7DB992" w14:textId="6A1F3136" w:rsidR="00C12950" w:rsidRPr="00597D37" w:rsidRDefault="00A029E7" w:rsidP="00F00EE7">
            <w:pPr>
              <w:tabs>
                <w:tab w:val="left" w:pos="-430"/>
                <w:tab w:val="left" w:pos="426"/>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F00EE7">
            <w:pPr>
              <w:pStyle w:val="Titolo1"/>
              <w:tabs>
                <w:tab w:val="left" w:pos="426"/>
              </w:tabs>
              <w:ind w:right="212"/>
              <w:jc w:val="both"/>
              <w:rPr>
                <w:sz w:val="18"/>
              </w:rPr>
            </w:pPr>
            <w:r>
              <w:rPr>
                <w:sz w:val="18"/>
              </w:rPr>
              <w:t>Acimall</w:t>
            </w:r>
          </w:p>
          <w:p w14:paraId="74123824" w14:textId="77777777" w:rsidR="00C12950" w:rsidRDefault="00C12950" w:rsidP="00F00EE7">
            <w:pPr>
              <w:tabs>
                <w:tab w:val="left" w:pos="426"/>
              </w:tabs>
              <w:ind w:right="212"/>
              <w:jc w:val="both"/>
              <w:rPr>
                <w:rFonts w:ascii="Helvetica" w:hAnsi="Helvetica"/>
                <w:sz w:val="16"/>
              </w:rPr>
            </w:pPr>
            <w:r>
              <w:rPr>
                <w:rFonts w:ascii="Helvetica" w:hAnsi="Helvetica"/>
                <w:sz w:val="16"/>
              </w:rPr>
              <w:t>Centro Direzionale Milanofiori</w:t>
            </w:r>
          </w:p>
          <w:p w14:paraId="7A00A7EC" w14:textId="77777777" w:rsidR="00C12950" w:rsidRDefault="00C12950" w:rsidP="00F00EE7">
            <w:pPr>
              <w:tabs>
                <w:tab w:val="left" w:pos="426"/>
              </w:tabs>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57C3C08B" w:rsidR="00C12950" w:rsidRDefault="00C313DA" w:rsidP="00F00EE7">
            <w:pPr>
              <w:tabs>
                <w:tab w:val="left" w:pos="426"/>
              </w:tabs>
              <w:ind w:right="212"/>
              <w:jc w:val="both"/>
              <w:rPr>
                <w:rFonts w:ascii="Helvetica" w:hAnsi="Helvetica"/>
                <w:sz w:val="16"/>
              </w:rPr>
            </w:pPr>
            <w:r>
              <w:rPr>
                <w:rFonts w:ascii="Helvetica" w:hAnsi="Helvetica"/>
                <w:sz w:val="16"/>
              </w:rPr>
              <w:t>I-20057</w:t>
            </w:r>
            <w:r w:rsidR="00C12950">
              <w:rPr>
                <w:rFonts w:ascii="Helvetica" w:hAnsi="Helvetica"/>
                <w:sz w:val="16"/>
              </w:rPr>
              <w:t xml:space="preserve"> Assago (Milano)</w:t>
            </w:r>
          </w:p>
          <w:p w14:paraId="08812F63" w14:textId="77777777" w:rsidR="00C12950" w:rsidRDefault="00C12950" w:rsidP="00F00EE7">
            <w:pPr>
              <w:tabs>
                <w:tab w:val="left" w:pos="426"/>
              </w:tabs>
              <w:ind w:right="212"/>
              <w:jc w:val="both"/>
              <w:rPr>
                <w:rFonts w:ascii="Helvetica" w:hAnsi="Helvetica"/>
                <w:sz w:val="16"/>
              </w:rPr>
            </w:pPr>
            <w:r>
              <w:rPr>
                <w:rFonts w:ascii="Helvetica" w:hAnsi="Helvetica"/>
                <w:sz w:val="16"/>
              </w:rPr>
              <w:t>phone +39 02 89210200</w:t>
            </w:r>
          </w:p>
          <w:p w14:paraId="5F0397DE" w14:textId="77777777" w:rsidR="00C12950" w:rsidRDefault="00C12950" w:rsidP="00F00EE7">
            <w:pPr>
              <w:tabs>
                <w:tab w:val="left" w:pos="426"/>
              </w:tabs>
              <w:ind w:right="212"/>
              <w:jc w:val="both"/>
              <w:rPr>
                <w:rFonts w:ascii="Helvetica" w:hAnsi="Helvetica"/>
                <w:sz w:val="16"/>
              </w:rPr>
            </w:pPr>
            <w:r>
              <w:rPr>
                <w:rFonts w:ascii="Helvetica" w:hAnsi="Helvetica"/>
                <w:sz w:val="16"/>
              </w:rPr>
              <w:t>fax +39 02 8259009</w:t>
            </w:r>
          </w:p>
          <w:p w14:paraId="27E6149D" w14:textId="77777777" w:rsidR="00C12950" w:rsidRDefault="00C12950" w:rsidP="00F00EE7">
            <w:pPr>
              <w:tabs>
                <w:tab w:val="left" w:pos="426"/>
              </w:tabs>
              <w:ind w:right="212"/>
              <w:jc w:val="both"/>
              <w:rPr>
                <w:rFonts w:ascii="Helvetica" w:hAnsi="Helvetica"/>
                <w:sz w:val="16"/>
              </w:rPr>
            </w:pPr>
            <w:r>
              <w:rPr>
                <w:rFonts w:ascii="Helvetica" w:hAnsi="Helvetica"/>
                <w:sz w:val="16"/>
              </w:rPr>
              <w:t>www.acimall.com</w:t>
            </w:r>
          </w:p>
          <w:p w14:paraId="40B19344" w14:textId="37F42DC8" w:rsidR="00C12950" w:rsidRDefault="00C12950" w:rsidP="00F00EE7">
            <w:pPr>
              <w:tabs>
                <w:tab w:val="left" w:pos="426"/>
              </w:tabs>
              <w:ind w:right="212"/>
              <w:jc w:val="both"/>
            </w:pPr>
            <w:r>
              <w:rPr>
                <w:rFonts w:ascii="Helvetica" w:hAnsi="Helvetica"/>
                <w:sz w:val="16"/>
              </w:rPr>
              <w:t>info@acimall.com</w:t>
            </w:r>
            <w:r w:rsidR="009761D9">
              <w:rPr>
                <w:rFonts w:ascii="Helvetica" w:hAnsi="Helvetica"/>
                <w:sz w:val="16"/>
              </w:rPr>
              <w:t xml:space="preserve"> </w:t>
            </w:r>
          </w:p>
        </w:tc>
        <w:tc>
          <w:tcPr>
            <w:tcW w:w="2493" w:type="dxa"/>
          </w:tcPr>
          <w:p w14:paraId="776B756F" w14:textId="298DC58F" w:rsidR="00C12950" w:rsidRPr="00026A53" w:rsidRDefault="003D3CCC" w:rsidP="00026A53">
            <w:pPr>
              <w:tabs>
                <w:tab w:val="left" w:pos="426"/>
              </w:tabs>
              <w:ind w:left="-142" w:right="212"/>
              <w:jc w:val="right"/>
              <w:rPr>
                <w:rFonts w:ascii="Helvetica" w:hAnsi="Helvetica"/>
                <w:b/>
                <w:color w:val="000000" w:themeColor="text1"/>
                <w:sz w:val="28"/>
              </w:rPr>
            </w:pPr>
            <w:r>
              <w:rPr>
                <w:rFonts w:ascii="Helvetica" w:hAnsi="Helvetica"/>
                <w:b/>
                <w:w w:val="108"/>
                <w:kern w:val="22"/>
                <w:sz w:val="28"/>
              </w:rPr>
              <w:t xml:space="preserve"> </w:t>
            </w:r>
            <w:r w:rsidR="00026A53" w:rsidRPr="007D334B">
              <w:rPr>
                <w:rFonts w:ascii="Helvetica" w:hAnsi="Helvetica"/>
                <w:b/>
                <w:w w:val="108"/>
                <w:kern w:val="22"/>
                <w:sz w:val="28"/>
                <w:lang w:val="en-US"/>
              </w:rPr>
              <w:t>press office</w:t>
            </w:r>
          </w:p>
          <w:p w14:paraId="70852C71" w14:textId="5100E50A" w:rsidR="00C12950" w:rsidRPr="00026A53" w:rsidRDefault="00026A53" w:rsidP="00026A53">
            <w:pPr>
              <w:tabs>
                <w:tab w:val="left" w:pos="426"/>
              </w:tabs>
              <w:ind w:left="-142" w:right="212"/>
              <w:jc w:val="right"/>
              <w:rPr>
                <w:rFonts w:ascii="Gill Sans MT" w:hAnsi="Gill Sans MT"/>
                <w:b/>
                <w:color w:val="000000" w:themeColor="text1"/>
                <w:sz w:val="14"/>
              </w:rPr>
            </w:pPr>
            <w:r w:rsidRPr="007D334B">
              <w:rPr>
                <w:rFonts w:ascii="Helvetica" w:hAnsi="Helvetica"/>
                <w:sz w:val="14"/>
                <w:lang w:val="en-US"/>
              </w:rPr>
              <w:t>01 July 2024</w:t>
            </w:r>
          </w:p>
        </w:tc>
      </w:tr>
    </w:tbl>
    <w:p w14:paraId="611215AC" w14:textId="77777777" w:rsidR="00C12950" w:rsidRDefault="00C12950" w:rsidP="00F00EE7">
      <w:pPr>
        <w:tabs>
          <w:tab w:val="left" w:pos="426"/>
        </w:tabs>
        <w:jc w:val="both"/>
        <w:rPr>
          <w:rFonts w:ascii="Arial" w:hAnsi="Arial"/>
          <w:sz w:val="20"/>
        </w:rPr>
      </w:pPr>
    </w:p>
    <w:p w14:paraId="0DD66105" w14:textId="77777777" w:rsidR="00C12950" w:rsidRPr="00B33B48" w:rsidRDefault="00C12950" w:rsidP="00F00EE7">
      <w:pPr>
        <w:tabs>
          <w:tab w:val="left" w:pos="426"/>
        </w:tabs>
        <w:ind w:left="426"/>
        <w:jc w:val="both"/>
        <w:rPr>
          <w:rFonts w:ascii="Arial" w:hAnsi="Arial" w:cs="Arial"/>
          <w:sz w:val="20"/>
        </w:rPr>
      </w:pPr>
    </w:p>
    <w:p w14:paraId="4AF431D0" w14:textId="77777777" w:rsidR="001D79A8" w:rsidRDefault="001D79A8" w:rsidP="00F00EE7">
      <w:pPr>
        <w:tabs>
          <w:tab w:val="left" w:pos="426"/>
        </w:tabs>
        <w:jc w:val="both"/>
        <w:rPr>
          <w:rFonts w:ascii="Arial" w:hAnsi="Arial" w:cs="Arial"/>
          <w:b/>
          <w:sz w:val="20"/>
        </w:rPr>
      </w:pPr>
    </w:p>
    <w:p w14:paraId="44DF9640" w14:textId="77777777" w:rsidR="009D300B" w:rsidRDefault="009D300B" w:rsidP="00F00EE7">
      <w:pPr>
        <w:tabs>
          <w:tab w:val="left" w:pos="426"/>
        </w:tabs>
        <w:jc w:val="both"/>
        <w:rPr>
          <w:rFonts w:ascii="Arial" w:hAnsi="Arial" w:cs="Arial"/>
          <w:b/>
          <w:sz w:val="20"/>
        </w:rPr>
      </w:pPr>
    </w:p>
    <w:p w14:paraId="1978C11B" w14:textId="77777777" w:rsidR="003A7230" w:rsidRDefault="003A7230" w:rsidP="00F00EE7">
      <w:pPr>
        <w:tabs>
          <w:tab w:val="left" w:pos="426"/>
        </w:tabs>
        <w:jc w:val="both"/>
        <w:rPr>
          <w:rFonts w:ascii="Arial" w:hAnsi="Arial" w:cs="Arial"/>
          <w:b/>
          <w:sz w:val="20"/>
        </w:rPr>
      </w:pPr>
    </w:p>
    <w:p w14:paraId="167C9886" w14:textId="77777777" w:rsidR="003A7230" w:rsidRDefault="003A7230" w:rsidP="00F00EE7">
      <w:pPr>
        <w:tabs>
          <w:tab w:val="left" w:pos="426"/>
        </w:tabs>
        <w:jc w:val="both"/>
        <w:rPr>
          <w:rFonts w:ascii="Arial" w:hAnsi="Arial" w:cs="Arial"/>
          <w:b/>
          <w:sz w:val="20"/>
        </w:rPr>
      </w:pPr>
    </w:p>
    <w:p w14:paraId="620F952C" w14:textId="77777777" w:rsidR="003A7230" w:rsidRDefault="003A7230" w:rsidP="00F00EE7">
      <w:pPr>
        <w:tabs>
          <w:tab w:val="left" w:pos="426"/>
        </w:tabs>
        <w:jc w:val="both"/>
        <w:rPr>
          <w:rFonts w:ascii="Arial" w:hAnsi="Arial" w:cs="Arial"/>
          <w:b/>
          <w:sz w:val="20"/>
        </w:rPr>
      </w:pPr>
    </w:p>
    <w:p w14:paraId="0155F6C4" w14:textId="77777777" w:rsidR="003A7230" w:rsidRDefault="003A7230" w:rsidP="00F00EE7">
      <w:pPr>
        <w:tabs>
          <w:tab w:val="left" w:pos="426"/>
        </w:tabs>
        <w:jc w:val="both"/>
        <w:rPr>
          <w:rFonts w:ascii="Arial" w:hAnsi="Arial" w:cs="Arial"/>
          <w:b/>
          <w:sz w:val="20"/>
        </w:rPr>
      </w:pPr>
    </w:p>
    <w:p w14:paraId="2C1204A0" w14:textId="4A48299E" w:rsidR="001670C8" w:rsidRDefault="001670C8" w:rsidP="00F00EE7">
      <w:pPr>
        <w:tabs>
          <w:tab w:val="left" w:pos="426"/>
        </w:tabs>
        <w:ind w:left="426"/>
        <w:jc w:val="both"/>
        <w:rPr>
          <w:rFonts w:ascii="Arial" w:hAnsi="Arial" w:cs="Arial"/>
          <w:b/>
          <w:sz w:val="20"/>
        </w:rPr>
      </w:pPr>
    </w:p>
    <w:p w14:paraId="138481D5" w14:textId="77777777" w:rsidR="003A7230" w:rsidRDefault="003A7230" w:rsidP="00F00EE7">
      <w:pPr>
        <w:tabs>
          <w:tab w:val="left" w:pos="426"/>
        </w:tabs>
        <w:ind w:left="426"/>
        <w:jc w:val="both"/>
        <w:rPr>
          <w:rFonts w:ascii="Arial" w:hAnsi="Arial" w:cs="Arial"/>
          <w:b/>
          <w:sz w:val="20"/>
        </w:rPr>
      </w:pPr>
    </w:p>
    <w:p w14:paraId="00200698" w14:textId="77777777" w:rsidR="003A7230" w:rsidRDefault="003A7230" w:rsidP="00F00EE7">
      <w:pPr>
        <w:tabs>
          <w:tab w:val="left" w:pos="426"/>
        </w:tabs>
        <w:ind w:left="426"/>
        <w:jc w:val="both"/>
        <w:rPr>
          <w:rFonts w:ascii="Arial" w:hAnsi="Arial" w:cs="Arial"/>
          <w:b/>
          <w:sz w:val="20"/>
        </w:rPr>
      </w:pPr>
    </w:p>
    <w:p w14:paraId="70690A85" w14:textId="46DACBA1" w:rsidR="00F7011C" w:rsidRPr="003A7230" w:rsidRDefault="00026A53" w:rsidP="00026A53">
      <w:pPr>
        <w:tabs>
          <w:tab w:val="left" w:pos="142"/>
          <w:tab w:val="left" w:pos="426"/>
        </w:tabs>
        <w:ind w:left="426"/>
        <w:jc w:val="both"/>
        <w:rPr>
          <w:rFonts w:ascii="Arial" w:hAnsi="Arial" w:cs="Arial"/>
          <w:b/>
          <w:color w:val="000000" w:themeColor="text1"/>
          <w:sz w:val="20"/>
          <w:lang w:val="en-US"/>
        </w:rPr>
      </w:pPr>
      <w:r w:rsidRPr="007D334B">
        <w:rPr>
          <w:rFonts w:ascii="Arial" w:hAnsi="Arial" w:cs="Arial"/>
          <w:b/>
          <w:sz w:val="20"/>
          <w:lang w:val="en-US"/>
        </w:rPr>
        <w:t>WOOD AND FURNITURE INDUSTRY TECHNOLOGIES:</w:t>
      </w:r>
    </w:p>
    <w:p w14:paraId="4EAB7B98" w14:textId="08BEF076" w:rsidR="009D651F" w:rsidRPr="003A7230" w:rsidRDefault="00026A53" w:rsidP="00026A53">
      <w:pPr>
        <w:tabs>
          <w:tab w:val="left" w:pos="142"/>
          <w:tab w:val="left" w:pos="426"/>
        </w:tabs>
        <w:ind w:left="426"/>
        <w:jc w:val="both"/>
        <w:rPr>
          <w:rFonts w:ascii="Arial" w:hAnsi="Arial" w:cs="Arial"/>
          <w:b/>
          <w:color w:val="000000" w:themeColor="text1"/>
          <w:sz w:val="20"/>
          <w:lang w:val="en-US"/>
        </w:rPr>
      </w:pPr>
      <w:r w:rsidRPr="007D334B">
        <w:rPr>
          <w:rFonts w:ascii="Arial" w:hAnsi="Arial" w:cs="Arial"/>
          <w:b/>
          <w:sz w:val="20"/>
          <w:lang w:val="en-US"/>
        </w:rPr>
        <w:t>“MADE IN ITALY” IMPORT AND EXPORT DATA IN THE FIRST QUARTER 2024</w:t>
      </w:r>
      <w:r w:rsidR="007E255D">
        <w:rPr>
          <w:rFonts w:ascii="Arial" w:hAnsi="Arial" w:cs="Arial"/>
          <w:b/>
          <w:sz w:val="20"/>
          <w:lang w:val="en-US"/>
        </w:rPr>
        <w:t xml:space="preserve"> </w:t>
      </w:r>
    </w:p>
    <w:p w14:paraId="349FB9B9" w14:textId="77777777" w:rsidR="00F7011C" w:rsidRPr="003A7230" w:rsidRDefault="00F7011C" w:rsidP="00F00EE7">
      <w:pPr>
        <w:tabs>
          <w:tab w:val="left" w:pos="426"/>
        </w:tabs>
        <w:ind w:left="426"/>
        <w:rPr>
          <w:rFonts w:ascii="Arial" w:hAnsi="Arial" w:cs="Arial"/>
          <w:color w:val="000000" w:themeColor="text1"/>
          <w:sz w:val="20"/>
          <w:lang w:val="en-US"/>
        </w:rPr>
      </w:pPr>
    </w:p>
    <w:p w14:paraId="290A14FD" w14:textId="77777777" w:rsidR="003C6A0C" w:rsidRDefault="003C6A0C" w:rsidP="00F00EE7">
      <w:pPr>
        <w:tabs>
          <w:tab w:val="left" w:pos="426"/>
        </w:tabs>
        <w:ind w:left="426"/>
        <w:rPr>
          <w:rFonts w:ascii="Arial" w:hAnsi="Arial" w:cs="Arial"/>
          <w:color w:val="000000" w:themeColor="text1"/>
          <w:sz w:val="20"/>
          <w:lang w:val="en-US"/>
        </w:rPr>
      </w:pPr>
    </w:p>
    <w:p w14:paraId="420A197C" w14:textId="77777777" w:rsidR="003A7230" w:rsidRPr="003A7230" w:rsidRDefault="003A7230" w:rsidP="00F00EE7">
      <w:pPr>
        <w:tabs>
          <w:tab w:val="left" w:pos="426"/>
        </w:tabs>
        <w:ind w:left="426"/>
        <w:rPr>
          <w:rFonts w:ascii="Arial" w:hAnsi="Arial" w:cs="Arial"/>
          <w:color w:val="000000" w:themeColor="text1"/>
          <w:sz w:val="20"/>
          <w:lang w:val="en-US"/>
        </w:rPr>
      </w:pPr>
    </w:p>
    <w:p w14:paraId="7695A9EE" w14:textId="3ECB521F" w:rsidR="00BF2A90" w:rsidRPr="003A7230" w:rsidRDefault="00026A53" w:rsidP="00026A53">
      <w:pPr>
        <w:tabs>
          <w:tab w:val="left" w:pos="426"/>
        </w:tabs>
        <w:ind w:left="426"/>
        <w:rPr>
          <w:rFonts w:ascii="Arial" w:hAnsi="Arial" w:cs="Arial"/>
          <w:color w:val="000000" w:themeColor="text1"/>
          <w:sz w:val="20"/>
          <w:lang w:val="en-US"/>
        </w:rPr>
      </w:pPr>
      <w:r w:rsidRPr="007D334B">
        <w:rPr>
          <w:rFonts w:ascii="Arial" w:hAnsi="Arial" w:cs="Arial"/>
          <w:sz w:val="20"/>
          <w:lang w:val="en-US"/>
        </w:rPr>
        <w:t>Today more than ever, it is essential having data and figures to accurately evaluate the real trend of a market that is experiencing a period of uncertainty.</w:t>
      </w:r>
      <w:r w:rsidR="00FA798B" w:rsidRPr="003A7230">
        <w:rPr>
          <w:rFonts w:ascii="Arial" w:hAnsi="Arial" w:cs="Arial"/>
          <w:color w:val="000000" w:themeColor="text1"/>
          <w:sz w:val="20"/>
          <w:lang w:val="en-US"/>
        </w:rPr>
        <w:t xml:space="preserve"> </w:t>
      </w:r>
    </w:p>
    <w:p w14:paraId="0022F661" w14:textId="2A665D98" w:rsidR="00FA798B" w:rsidRPr="003A7230" w:rsidRDefault="00026A53" w:rsidP="003D553F">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According to tradition, the Studies Office of Acimall </w:t>
      </w:r>
      <w:r w:rsidR="00C93FA4">
        <w:rPr>
          <w:rFonts w:ascii="Arial" w:hAnsi="Arial" w:cs="Arial"/>
          <w:sz w:val="20"/>
          <w:lang w:val="en-US"/>
        </w:rPr>
        <w:softHyphen/>
        <w:t xml:space="preserve">– the </w:t>
      </w:r>
      <w:proofErr w:type="spellStart"/>
      <w:r w:rsidR="00C93FA4">
        <w:rPr>
          <w:rFonts w:ascii="Arial" w:hAnsi="Arial" w:cs="Arial"/>
          <w:sz w:val="20"/>
          <w:lang w:val="en-US"/>
        </w:rPr>
        <w:t>italian</w:t>
      </w:r>
      <w:proofErr w:type="spellEnd"/>
      <w:r w:rsidR="00C93FA4">
        <w:rPr>
          <w:rFonts w:ascii="Arial" w:hAnsi="Arial" w:cs="Arial"/>
          <w:sz w:val="20"/>
          <w:lang w:val="en-US"/>
        </w:rPr>
        <w:t xml:space="preserve"> woodworking technologies association – </w:t>
      </w:r>
      <w:r w:rsidRPr="007D334B">
        <w:rPr>
          <w:rFonts w:ascii="Arial" w:hAnsi="Arial" w:cs="Arial"/>
          <w:sz w:val="20"/>
          <w:lang w:val="en-US"/>
        </w:rPr>
        <w:t xml:space="preserve">has processed a set of information (based on </w:t>
      </w:r>
      <w:proofErr w:type="spellStart"/>
      <w:r w:rsidRPr="007D334B">
        <w:rPr>
          <w:rFonts w:ascii="Arial" w:hAnsi="Arial" w:cs="Arial"/>
          <w:sz w:val="20"/>
          <w:lang w:val="en-US"/>
        </w:rPr>
        <w:t>Istat</w:t>
      </w:r>
      <w:proofErr w:type="spellEnd"/>
      <w:r w:rsidRPr="007D334B">
        <w:rPr>
          <w:rFonts w:ascii="Arial" w:hAnsi="Arial" w:cs="Arial"/>
          <w:sz w:val="20"/>
          <w:lang w:val="en-US"/>
        </w:rPr>
        <w:t xml:space="preserve"> data</w:t>
      </w:r>
      <w:r w:rsidR="0039688D">
        <w:rPr>
          <w:rFonts w:ascii="Arial" w:hAnsi="Arial" w:cs="Arial"/>
          <w:sz w:val="20"/>
          <w:lang w:val="en-US"/>
        </w:rPr>
        <w:t>, the Italian national statistical institute</w:t>
      </w:r>
      <w:r w:rsidRPr="007D334B">
        <w:rPr>
          <w:rFonts w:ascii="Arial" w:hAnsi="Arial" w:cs="Arial"/>
          <w:sz w:val="20"/>
          <w:lang w:val="en-US"/>
        </w:rPr>
        <w:t>) that clearly illustrate the global trends of Italian technologies for the furniture and woodworking industries in the first three months of this year.</w:t>
      </w:r>
    </w:p>
    <w:p w14:paraId="65CF62B3" w14:textId="77777777" w:rsidR="00FA798B" w:rsidRPr="003A7230" w:rsidRDefault="00FA798B" w:rsidP="000851C9">
      <w:pPr>
        <w:tabs>
          <w:tab w:val="left" w:pos="426"/>
        </w:tabs>
        <w:ind w:left="426"/>
        <w:rPr>
          <w:rFonts w:ascii="Arial" w:hAnsi="Arial" w:cs="Arial"/>
          <w:color w:val="000000" w:themeColor="text1"/>
          <w:sz w:val="20"/>
          <w:lang w:val="en-US"/>
        </w:rPr>
      </w:pPr>
    </w:p>
    <w:p w14:paraId="53F7C514" w14:textId="43F1F786" w:rsidR="00260B47" w:rsidRPr="003A7230" w:rsidRDefault="003D553F" w:rsidP="003D553F">
      <w:pPr>
        <w:tabs>
          <w:tab w:val="left" w:pos="426"/>
        </w:tabs>
        <w:ind w:left="426"/>
        <w:rPr>
          <w:rFonts w:ascii="Arial" w:hAnsi="Arial" w:cs="Arial"/>
          <w:color w:val="000000" w:themeColor="text1"/>
          <w:sz w:val="20"/>
          <w:lang w:val="en-US"/>
        </w:rPr>
      </w:pPr>
      <w:r w:rsidRPr="007D334B">
        <w:rPr>
          <w:rFonts w:ascii="Arial" w:hAnsi="Arial" w:cs="Arial"/>
          <w:sz w:val="20"/>
          <w:lang w:val="en-US"/>
        </w:rPr>
        <w:t>EXPORT</w:t>
      </w:r>
    </w:p>
    <w:p w14:paraId="07FC856A" w14:textId="3DB773A4" w:rsidR="00FA798B" w:rsidRPr="003A7230" w:rsidRDefault="003D553F" w:rsidP="00B20C50">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In the period under scrutiny, </w:t>
      </w:r>
      <w:r w:rsidRPr="007D334B">
        <w:rPr>
          <w:rFonts w:ascii="Arial" w:hAnsi="Arial" w:cs="Arial"/>
          <w:b/>
          <w:bCs/>
          <w:sz w:val="20"/>
          <w:lang w:val="en-US"/>
        </w:rPr>
        <w:t>export</w:t>
      </w:r>
      <w:r w:rsidRPr="007D334B">
        <w:rPr>
          <w:rFonts w:ascii="Arial" w:hAnsi="Arial" w:cs="Arial"/>
          <w:sz w:val="20"/>
          <w:lang w:val="en-US"/>
        </w:rPr>
        <w:t xml:space="preserve"> totaled 379.4 million euro</w:t>
      </w:r>
      <w:r w:rsidR="007D334B">
        <w:rPr>
          <w:rFonts w:ascii="Arial" w:hAnsi="Arial" w:cs="Arial"/>
          <w:sz w:val="20"/>
          <w:lang w:val="en-US"/>
        </w:rPr>
        <w:t>s</w:t>
      </w:r>
      <w:r w:rsidRPr="007D334B">
        <w:rPr>
          <w:rFonts w:ascii="Arial" w:hAnsi="Arial" w:cs="Arial"/>
          <w:sz w:val="20"/>
          <w:lang w:val="en-US"/>
        </w:rPr>
        <w:t>, 6.1 percent less than in the same quarter in 2023.</w:t>
      </w:r>
      <w:r w:rsidR="006D0912" w:rsidRPr="003A7230">
        <w:rPr>
          <w:rFonts w:ascii="Arial" w:hAnsi="Arial" w:cs="Arial"/>
          <w:color w:val="000000" w:themeColor="text1"/>
          <w:sz w:val="20"/>
          <w:lang w:val="en-US"/>
        </w:rPr>
        <w:t xml:space="preserve"> </w:t>
      </w:r>
      <w:r w:rsidRPr="007D334B">
        <w:rPr>
          <w:rFonts w:ascii="Arial" w:hAnsi="Arial" w:cs="Arial"/>
          <w:sz w:val="20"/>
          <w:lang w:val="en-US"/>
        </w:rPr>
        <w:t xml:space="preserve">Provided that one quarter is too short a period to identify a significant trend, if we look at the main destination regions (table 01), we can see a 30 percent decrease in sales to </w:t>
      </w:r>
      <w:r w:rsidR="00C93FA4">
        <w:rPr>
          <w:rFonts w:ascii="Arial" w:hAnsi="Arial" w:cs="Arial"/>
          <w:b/>
          <w:bCs/>
          <w:sz w:val="20"/>
          <w:lang w:val="en-US"/>
        </w:rPr>
        <w:t xml:space="preserve">Europe </w:t>
      </w:r>
      <w:r w:rsidR="0039688D">
        <w:rPr>
          <w:rFonts w:ascii="Arial" w:hAnsi="Arial" w:cs="Arial"/>
          <w:b/>
          <w:bCs/>
          <w:sz w:val="20"/>
          <w:lang w:val="en-US"/>
        </w:rPr>
        <w:t>e</w:t>
      </w:r>
      <w:r w:rsidR="00C93FA4">
        <w:rPr>
          <w:rFonts w:ascii="Arial" w:hAnsi="Arial" w:cs="Arial"/>
          <w:b/>
          <w:bCs/>
          <w:sz w:val="20"/>
          <w:lang w:val="en-US"/>
        </w:rPr>
        <w:t>xtra EU</w:t>
      </w:r>
      <w:r w:rsidRPr="007D334B">
        <w:rPr>
          <w:rFonts w:ascii="Arial" w:hAnsi="Arial" w:cs="Arial"/>
          <w:sz w:val="20"/>
          <w:lang w:val="en-US"/>
        </w:rPr>
        <w:t>, due to the Russia-Ukraine war.</w:t>
      </w:r>
      <w:r w:rsidR="00126C51" w:rsidRPr="003A7230">
        <w:rPr>
          <w:rFonts w:ascii="Arial" w:hAnsi="Arial" w:cs="Arial"/>
          <w:color w:val="000000" w:themeColor="text1"/>
          <w:sz w:val="20"/>
          <w:lang w:val="en-US"/>
        </w:rPr>
        <w:t xml:space="preserve"> </w:t>
      </w:r>
      <w:r w:rsidRPr="007D334B">
        <w:rPr>
          <w:rFonts w:ascii="Arial" w:hAnsi="Arial" w:cs="Arial"/>
          <w:sz w:val="20"/>
          <w:lang w:val="en-US"/>
        </w:rPr>
        <w:t>The same tragic events have cause</w:t>
      </w:r>
      <w:r w:rsidR="00B20C50" w:rsidRPr="007D334B">
        <w:rPr>
          <w:rFonts w:ascii="Arial" w:hAnsi="Arial" w:cs="Arial"/>
          <w:sz w:val="20"/>
          <w:lang w:val="en-US"/>
        </w:rPr>
        <w:t>d</w:t>
      </w:r>
      <w:r w:rsidRPr="007D334B">
        <w:rPr>
          <w:rFonts w:ascii="Arial" w:hAnsi="Arial" w:cs="Arial"/>
          <w:sz w:val="20"/>
          <w:lang w:val="en-US"/>
        </w:rPr>
        <w:t xml:space="preserve"> a reduction of export to the </w:t>
      </w:r>
      <w:r w:rsidRPr="007D334B">
        <w:rPr>
          <w:rFonts w:ascii="Arial" w:hAnsi="Arial" w:cs="Arial"/>
          <w:b/>
          <w:bCs/>
          <w:sz w:val="20"/>
          <w:lang w:val="en-US"/>
        </w:rPr>
        <w:t>Middle East</w:t>
      </w:r>
      <w:r w:rsidRPr="007D334B">
        <w:rPr>
          <w:rFonts w:ascii="Arial" w:hAnsi="Arial" w:cs="Arial"/>
          <w:sz w:val="20"/>
          <w:lang w:val="en-US"/>
        </w:rPr>
        <w:t>, down by 55.1 percent.</w:t>
      </w:r>
    </w:p>
    <w:p w14:paraId="4A3A8818" w14:textId="581F50F1" w:rsidR="00126C51" w:rsidRPr="003A7230" w:rsidRDefault="00B20C50" w:rsidP="00B20C50">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The substantial stability of </w:t>
      </w:r>
      <w:r w:rsidRPr="007D334B">
        <w:rPr>
          <w:rFonts w:ascii="Arial" w:hAnsi="Arial" w:cs="Arial"/>
          <w:b/>
          <w:bCs/>
          <w:sz w:val="20"/>
          <w:lang w:val="en-US"/>
        </w:rPr>
        <w:t>Europe</w:t>
      </w:r>
      <w:r w:rsidR="0039688D">
        <w:rPr>
          <w:rFonts w:ascii="Arial" w:hAnsi="Arial" w:cs="Arial"/>
          <w:b/>
          <w:bCs/>
          <w:sz w:val="20"/>
          <w:lang w:val="en-US"/>
        </w:rPr>
        <w:t>an Union</w:t>
      </w:r>
      <w:r w:rsidRPr="007D334B">
        <w:rPr>
          <w:rFonts w:ascii="Arial" w:hAnsi="Arial" w:cs="Arial"/>
          <w:sz w:val="20"/>
          <w:lang w:val="en-US"/>
        </w:rPr>
        <w:t xml:space="preserve"> (the biggest trade partner with a 52.8 percent share on total Italian export) is combined with an expansive trend in Italian technology purchases from </w:t>
      </w:r>
      <w:r w:rsidRPr="007D334B">
        <w:rPr>
          <w:rFonts w:ascii="Arial" w:hAnsi="Arial" w:cs="Arial"/>
          <w:b/>
          <w:bCs/>
          <w:sz w:val="20"/>
          <w:lang w:val="en-US"/>
        </w:rPr>
        <w:t>North America</w:t>
      </w:r>
      <w:r w:rsidRPr="007D334B">
        <w:rPr>
          <w:rFonts w:ascii="Arial" w:hAnsi="Arial" w:cs="Arial"/>
          <w:sz w:val="20"/>
          <w:lang w:val="en-US"/>
        </w:rPr>
        <w:t xml:space="preserve"> (up by 4 percent), especially due to the policy adopted by the </w:t>
      </w:r>
      <w:r w:rsidRPr="007D334B">
        <w:rPr>
          <w:rFonts w:ascii="Arial" w:hAnsi="Arial" w:cs="Arial"/>
          <w:b/>
          <w:bCs/>
          <w:sz w:val="20"/>
          <w:lang w:val="en-US"/>
        </w:rPr>
        <w:t>United States</w:t>
      </w:r>
      <w:r w:rsidRPr="007D334B">
        <w:rPr>
          <w:rFonts w:ascii="Arial" w:hAnsi="Arial" w:cs="Arial"/>
          <w:sz w:val="20"/>
          <w:lang w:val="en-US"/>
        </w:rPr>
        <w:t xml:space="preserve"> to reshore productions that had been outsourced to neighbor countries.</w:t>
      </w:r>
      <w:r w:rsidR="002F7021" w:rsidRPr="003A7230">
        <w:rPr>
          <w:rFonts w:ascii="Arial" w:hAnsi="Arial" w:cs="Arial"/>
          <w:color w:val="000000" w:themeColor="text1"/>
          <w:sz w:val="20"/>
          <w:lang w:val="en-US"/>
        </w:rPr>
        <w:t xml:space="preserve"> </w:t>
      </w:r>
      <w:r w:rsidRPr="007D334B">
        <w:rPr>
          <w:rFonts w:ascii="Arial" w:hAnsi="Arial" w:cs="Arial"/>
          <w:sz w:val="20"/>
          <w:lang w:val="en-US"/>
        </w:rPr>
        <w:t xml:space="preserve">The markets that still represent attractive destinations, although with significantly smaller values, include </w:t>
      </w:r>
      <w:r w:rsidRPr="007D334B">
        <w:rPr>
          <w:rFonts w:ascii="Arial" w:hAnsi="Arial" w:cs="Arial"/>
          <w:b/>
          <w:bCs/>
          <w:sz w:val="20"/>
          <w:lang w:val="en-US"/>
        </w:rPr>
        <w:t>South America</w:t>
      </w:r>
      <w:r w:rsidRPr="007D334B">
        <w:rPr>
          <w:rFonts w:ascii="Arial" w:hAnsi="Arial" w:cs="Arial"/>
          <w:sz w:val="20"/>
          <w:lang w:val="en-US"/>
        </w:rPr>
        <w:t xml:space="preserve"> (plus 28 percent), </w:t>
      </w:r>
      <w:r w:rsidRPr="007D334B">
        <w:rPr>
          <w:rFonts w:ascii="Arial" w:hAnsi="Arial" w:cs="Arial"/>
          <w:b/>
          <w:bCs/>
          <w:sz w:val="20"/>
          <w:lang w:val="en-US"/>
        </w:rPr>
        <w:t>Oceania</w:t>
      </w:r>
      <w:r w:rsidRPr="007D334B">
        <w:rPr>
          <w:rFonts w:ascii="Arial" w:hAnsi="Arial" w:cs="Arial"/>
          <w:sz w:val="20"/>
          <w:lang w:val="en-US"/>
        </w:rPr>
        <w:t xml:space="preserve"> (plus 18 percent) and </w:t>
      </w:r>
      <w:r w:rsidRPr="007D334B">
        <w:rPr>
          <w:rFonts w:ascii="Arial" w:hAnsi="Arial" w:cs="Arial"/>
          <w:b/>
          <w:bCs/>
          <w:sz w:val="20"/>
          <w:lang w:val="en-US"/>
        </w:rPr>
        <w:t>Africa</w:t>
      </w:r>
      <w:r w:rsidRPr="007D334B">
        <w:rPr>
          <w:rFonts w:ascii="Arial" w:hAnsi="Arial" w:cs="Arial"/>
          <w:sz w:val="20"/>
          <w:lang w:val="en-US"/>
        </w:rPr>
        <w:t xml:space="preserve"> (plus 9.3 percent).</w:t>
      </w:r>
    </w:p>
    <w:p w14:paraId="27F23BFA" w14:textId="2A09265E" w:rsidR="00A04536" w:rsidRPr="003A7230" w:rsidRDefault="00B20C50" w:rsidP="00B20C50">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It is worth noticing the 16.4 percent drop of export to </w:t>
      </w:r>
      <w:r w:rsidRPr="007D334B">
        <w:rPr>
          <w:rFonts w:ascii="Arial" w:hAnsi="Arial" w:cs="Arial"/>
          <w:b/>
          <w:bCs/>
          <w:sz w:val="20"/>
          <w:lang w:val="en-US"/>
        </w:rPr>
        <w:t>Asia</w:t>
      </w:r>
      <w:r w:rsidRPr="007D334B">
        <w:rPr>
          <w:rFonts w:ascii="Arial" w:hAnsi="Arial" w:cs="Arial"/>
          <w:sz w:val="20"/>
          <w:lang w:val="en-US"/>
        </w:rPr>
        <w:t>, certainly due to the increasing penetration of “</w:t>
      </w:r>
      <w:r w:rsidRPr="007D334B">
        <w:rPr>
          <w:rFonts w:ascii="Arial" w:hAnsi="Arial" w:cs="Arial"/>
          <w:b/>
          <w:bCs/>
          <w:sz w:val="20"/>
          <w:lang w:val="en-US"/>
        </w:rPr>
        <w:t>made in China</w:t>
      </w:r>
      <w:r w:rsidRPr="007D334B">
        <w:rPr>
          <w:rFonts w:ascii="Arial" w:hAnsi="Arial" w:cs="Arial"/>
          <w:sz w:val="20"/>
          <w:lang w:val="en-US"/>
        </w:rPr>
        <w:t>” technology for wood and furniture, which is becoming more and more attractive for China’s neighbor markets.</w:t>
      </w:r>
    </w:p>
    <w:p w14:paraId="68ABFE83" w14:textId="77777777" w:rsidR="00260B47" w:rsidRPr="003A7230" w:rsidRDefault="00260B47" w:rsidP="000851C9">
      <w:pPr>
        <w:tabs>
          <w:tab w:val="left" w:pos="426"/>
        </w:tabs>
        <w:ind w:left="426"/>
        <w:rPr>
          <w:rFonts w:ascii="Arial" w:hAnsi="Arial" w:cs="Arial"/>
          <w:color w:val="000000" w:themeColor="text1"/>
          <w:sz w:val="20"/>
          <w:lang w:val="en-US"/>
        </w:rPr>
      </w:pPr>
    </w:p>
    <w:p w14:paraId="2A55EFD0" w14:textId="060E369A" w:rsidR="00260B47" w:rsidRPr="003A7230" w:rsidRDefault="00B20C50" w:rsidP="00B20C50">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Focusing on specific countries (table 02), we see a comeback of the </w:t>
      </w:r>
      <w:r w:rsidRPr="0039688D">
        <w:rPr>
          <w:rFonts w:ascii="Arial" w:hAnsi="Arial" w:cs="Arial"/>
          <w:b/>
          <w:bCs/>
          <w:sz w:val="20"/>
          <w:lang w:val="en-US"/>
        </w:rPr>
        <w:t>United States</w:t>
      </w:r>
      <w:r w:rsidRPr="007D334B">
        <w:rPr>
          <w:rFonts w:ascii="Arial" w:hAnsi="Arial" w:cs="Arial"/>
          <w:sz w:val="20"/>
          <w:lang w:val="en-US"/>
        </w:rPr>
        <w:t xml:space="preserve"> and </w:t>
      </w:r>
      <w:r w:rsidRPr="0039688D">
        <w:rPr>
          <w:rFonts w:ascii="Arial" w:hAnsi="Arial" w:cs="Arial"/>
          <w:b/>
          <w:bCs/>
          <w:sz w:val="20"/>
          <w:lang w:val="en-US"/>
        </w:rPr>
        <w:t>France</w:t>
      </w:r>
      <w:r w:rsidRPr="007D334B">
        <w:rPr>
          <w:rFonts w:ascii="Arial" w:hAnsi="Arial" w:cs="Arial"/>
          <w:sz w:val="20"/>
          <w:lang w:val="en-US"/>
        </w:rPr>
        <w:t>, the best customers in the quarter, strongly recovering compared to the entire 2023, when the purchases of Italian technology had dropped by 16 percent in the Us and 4.6 percent in France.</w:t>
      </w:r>
      <w:r w:rsidR="00306738" w:rsidRPr="003A7230">
        <w:rPr>
          <w:rFonts w:ascii="Arial" w:hAnsi="Arial" w:cs="Arial"/>
          <w:color w:val="000000" w:themeColor="text1"/>
          <w:sz w:val="20"/>
          <w:lang w:val="en-US"/>
        </w:rPr>
        <w:t xml:space="preserve"> </w:t>
      </w:r>
      <w:r w:rsidRPr="007D334B">
        <w:rPr>
          <w:rFonts w:ascii="Arial" w:hAnsi="Arial" w:cs="Arial"/>
          <w:sz w:val="20"/>
          <w:lang w:val="en-US"/>
        </w:rPr>
        <w:t xml:space="preserve">Excellent results in </w:t>
      </w:r>
      <w:r w:rsidRPr="007D334B">
        <w:rPr>
          <w:rFonts w:ascii="Arial" w:hAnsi="Arial" w:cs="Arial"/>
          <w:b/>
          <w:bCs/>
          <w:sz w:val="20"/>
          <w:lang w:val="en-US"/>
        </w:rPr>
        <w:t>Sweden</w:t>
      </w:r>
      <w:r w:rsidRPr="007D334B">
        <w:rPr>
          <w:rFonts w:ascii="Arial" w:hAnsi="Arial" w:cs="Arial"/>
          <w:sz w:val="20"/>
          <w:lang w:val="en-US"/>
        </w:rPr>
        <w:t xml:space="preserve"> (plus 137 percent compared to the same quarter in 2023), driven by spare parts and integrations to existing technology.</w:t>
      </w:r>
      <w:r w:rsidR="004968E5" w:rsidRPr="003A7230">
        <w:rPr>
          <w:rFonts w:ascii="Arial" w:hAnsi="Arial" w:cs="Arial"/>
          <w:color w:val="000000" w:themeColor="text1"/>
          <w:sz w:val="20"/>
          <w:lang w:val="en-US"/>
        </w:rPr>
        <w:t xml:space="preserve"> </w:t>
      </w:r>
      <w:r w:rsidRPr="007D334B">
        <w:rPr>
          <w:rFonts w:ascii="Arial" w:hAnsi="Arial" w:cs="Arial"/>
          <w:sz w:val="20"/>
          <w:lang w:val="en-US"/>
        </w:rPr>
        <w:t xml:space="preserve">The </w:t>
      </w:r>
      <w:r w:rsidRPr="007D334B">
        <w:rPr>
          <w:rFonts w:ascii="Arial" w:hAnsi="Arial" w:cs="Arial"/>
          <w:b/>
          <w:bCs/>
          <w:sz w:val="20"/>
          <w:lang w:val="en-US"/>
        </w:rPr>
        <w:t>United Kingdom</w:t>
      </w:r>
      <w:r w:rsidRPr="007D334B">
        <w:rPr>
          <w:rFonts w:ascii="Arial" w:hAnsi="Arial" w:cs="Arial"/>
          <w:sz w:val="20"/>
          <w:lang w:val="en-US"/>
        </w:rPr>
        <w:t xml:space="preserve"> is continuing to record a collapse of Italian machinery import (down by 36.6 percent), following a similar reduction in 2023.</w:t>
      </w:r>
    </w:p>
    <w:p w14:paraId="40324D72" w14:textId="51561EC4" w:rsidR="000E6F8E" w:rsidRPr="003A7230" w:rsidRDefault="00B20C50" w:rsidP="00BF3CE4">
      <w:pPr>
        <w:tabs>
          <w:tab w:val="left" w:pos="426"/>
        </w:tabs>
        <w:ind w:left="426"/>
        <w:rPr>
          <w:rFonts w:ascii="Arial" w:hAnsi="Arial" w:cs="Arial"/>
          <w:color w:val="000000" w:themeColor="text1"/>
          <w:sz w:val="20"/>
          <w:lang w:val="en-US"/>
        </w:rPr>
      </w:pPr>
      <w:r w:rsidRPr="007D334B">
        <w:rPr>
          <w:rFonts w:ascii="Arial" w:hAnsi="Arial" w:cs="Arial"/>
          <w:b/>
          <w:bCs/>
          <w:sz w:val="20"/>
          <w:lang w:val="en-US"/>
        </w:rPr>
        <w:t>China</w:t>
      </w:r>
      <w:r w:rsidRPr="007D334B">
        <w:rPr>
          <w:rFonts w:ascii="Arial" w:hAnsi="Arial" w:cs="Arial"/>
          <w:sz w:val="20"/>
          <w:lang w:val="en-US"/>
        </w:rPr>
        <w:t xml:space="preserve">, despite increasing volume of domestic production, is maintaining a strong interest for Italian technology (plus 12.9 percent in the January-March 2024 period, repeating the plus 10 percent result </w:t>
      </w:r>
      <w:r w:rsidR="00BF3CE4" w:rsidRPr="007D334B">
        <w:rPr>
          <w:rFonts w:ascii="Arial" w:hAnsi="Arial" w:cs="Arial"/>
          <w:sz w:val="20"/>
          <w:lang w:val="en-US"/>
        </w:rPr>
        <w:t>achieved across twelve months in</w:t>
      </w:r>
      <w:r w:rsidRPr="007D334B">
        <w:rPr>
          <w:rFonts w:ascii="Arial" w:hAnsi="Arial" w:cs="Arial"/>
          <w:sz w:val="20"/>
          <w:lang w:val="en-US"/>
        </w:rPr>
        <w:t xml:space="preserve"> 2023)</w:t>
      </w:r>
      <w:r w:rsidR="00BF3CE4" w:rsidRPr="007D334B">
        <w:rPr>
          <w:rFonts w:ascii="Arial" w:hAnsi="Arial" w:cs="Arial"/>
          <w:sz w:val="20"/>
          <w:lang w:val="en-US"/>
        </w:rPr>
        <w:t>.</w:t>
      </w:r>
      <w:r w:rsidRPr="007D334B">
        <w:rPr>
          <w:rFonts w:ascii="Arial" w:hAnsi="Arial" w:cs="Arial"/>
          <w:sz w:val="20"/>
          <w:lang w:val="en-US"/>
        </w:rPr>
        <w:t xml:space="preserve"> </w:t>
      </w:r>
      <w:r w:rsidRPr="007D334B">
        <w:rPr>
          <w:rFonts w:ascii="Arial" w:hAnsi="Arial" w:cs="Arial"/>
          <w:b/>
          <w:bCs/>
          <w:sz w:val="20"/>
          <w:lang w:val="en-US"/>
        </w:rPr>
        <w:t>India</w:t>
      </w:r>
      <w:r w:rsidRPr="007D334B">
        <w:rPr>
          <w:rFonts w:ascii="Arial" w:hAnsi="Arial" w:cs="Arial"/>
          <w:sz w:val="20"/>
          <w:lang w:val="en-US"/>
        </w:rPr>
        <w:t xml:space="preserve"> </w:t>
      </w:r>
      <w:r w:rsidR="00BF3CE4" w:rsidRPr="007D334B">
        <w:rPr>
          <w:rFonts w:ascii="Arial" w:hAnsi="Arial" w:cs="Arial"/>
          <w:sz w:val="20"/>
          <w:lang w:val="en-US"/>
        </w:rPr>
        <w:t xml:space="preserve">keeps losing positions in the ranking of customers </w:t>
      </w:r>
      <w:r w:rsidRPr="007D334B">
        <w:rPr>
          <w:rFonts w:ascii="Arial" w:hAnsi="Arial" w:cs="Arial"/>
          <w:sz w:val="20"/>
          <w:lang w:val="en-US"/>
        </w:rPr>
        <w:t>(</w:t>
      </w:r>
      <w:r w:rsidR="00BF3CE4" w:rsidRPr="007D334B">
        <w:rPr>
          <w:rFonts w:ascii="Arial" w:hAnsi="Arial" w:cs="Arial"/>
          <w:sz w:val="20"/>
          <w:lang w:val="en-US"/>
        </w:rPr>
        <w:t>minus</w:t>
      </w:r>
      <w:r w:rsidRPr="007D334B">
        <w:rPr>
          <w:rFonts w:ascii="Arial" w:hAnsi="Arial" w:cs="Arial"/>
          <w:sz w:val="20"/>
          <w:lang w:val="en-US"/>
        </w:rPr>
        <w:t xml:space="preserve"> 30</w:t>
      </w:r>
      <w:r w:rsidR="00BF3CE4" w:rsidRPr="007D334B">
        <w:rPr>
          <w:rFonts w:ascii="Arial" w:hAnsi="Arial" w:cs="Arial"/>
          <w:sz w:val="20"/>
          <w:lang w:val="en-US"/>
        </w:rPr>
        <w:t>.</w:t>
      </w:r>
      <w:r w:rsidRPr="007D334B">
        <w:rPr>
          <w:rFonts w:ascii="Arial" w:hAnsi="Arial" w:cs="Arial"/>
          <w:sz w:val="20"/>
          <w:lang w:val="en-US"/>
        </w:rPr>
        <w:t xml:space="preserve">5 percent), </w:t>
      </w:r>
      <w:r w:rsidR="00BF3CE4" w:rsidRPr="007D334B">
        <w:rPr>
          <w:rFonts w:ascii="Arial" w:hAnsi="Arial" w:cs="Arial"/>
          <w:sz w:val="20"/>
          <w:lang w:val="en-US"/>
        </w:rPr>
        <w:t>while remaining in the list of markets that feed good expectations despite the results currently offered to Italian companies</w:t>
      </w:r>
      <w:r w:rsidRPr="007D334B">
        <w:rPr>
          <w:rFonts w:ascii="Arial" w:hAnsi="Arial" w:cs="Arial"/>
          <w:sz w:val="20"/>
          <w:lang w:val="en-US"/>
        </w:rPr>
        <w:t>.</w:t>
      </w:r>
    </w:p>
    <w:p w14:paraId="4678EBB8" w14:textId="77777777" w:rsidR="00885E17" w:rsidRPr="003A7230" w:rsidRDefault="00885E17" w:rsidP="00260B47">
      <w:pPr>
        <w:tabs>
          <w:tab w:val="left" w:pos="426"/>
        </w:tabs>
        <w:ind w:left="426"/>
        <w:rPr>
          <w:rFonts w:ascii="Arial" w:hAnsi="Arial" w:cs="Arial"/>
          <w:color w:val="000000" w:themeColor="text1"/>
          <w:sz w:val="20"/>
          <w:lang w:val="en-US"/>
        </w:rPr>
      </w:pPr>
    </w:p>
    <w:p w14:paraId="6B3EE85C" w14:textId="77777777" w:rsidR="00885E17" w:rsidRPr="003A7230" w:rsidRDefault="00885E17" w:rsidP="00260B47">
      <w:pPr>
        <w:tabs>
          <w:tab w:val="left" w:pos="426"/>
        </w:tabs>
        <w:ind w:left="426"/>
        <w:rPr>
          <w:rFonts w:ascii="Arial" w:hAnsi="Arial" w:cs="Arial"/>
          <w:color w:val="000000" w:themeColor="text1"/>
          <w:sz w:val="20"/>
          <w:lang w:val="en-US"/>
        </w:rPr>
      </w:pPr>
    </w:p>
    <w:p w14:paraId="2A7C0338" w14:textId="77777777" w:rsidR="00885E17" w:rsidRPr="003A7230" w:rsidRDefault="00885E17" w:rsidP="00260B47">
      <w:pPr>
        <w:tabs>
          <w:tab w:val="left" w:pos="426"/>
        </w:tabs>
        <w:ind w:left="426"/>
        <w:rPr>
          <w:rFonts w:ascii="Arial" w:hAnsi="Arial" w:cs="Arial"/>
          <w:color w:val="000000" w:themeColor="text1"/>
          <w:sz w:val="20"/>
          <w:lang w:val="en-US"/>
        </w:rPr>
      </w:pPr>
    </w:p>
    <w:p w14:paraId="3E38ED65" w14:textId="77777777" w:rsidR="00885E17" w:rsidRPr="003A7230" w:rsidRDefault="00885E17" w:rsidP="00260B47">
      <w:pPr>
        <w:tabs>
          <w:tab w:val="left" w:pos="426"/>
        </w:tabs>
        <w:ind w:left="426"/>
        <w:rPr>
          <w:rFonts w:ascii="Arial" w:hAnsi="Arial" w:cs="Arial"/>
          <w:color w:val="000000" w:themeColor="text1"/>
          <w:sz w:val="20"/>
          <w:lang w:val="en-US"/>
        </w:rPr>
      </w:pPr>
    </w:p>
    <w:p w14:paraId="504D94DA" w14:textId="77777777" w:rsidR="00885E17" w:rsidRPr="003A7230" w:rsidRDefault="00885E17" w:rsidP="00260B47">
      <w:pPr>
        <w:tabs>
          <w:tab w:val="left" w:pos="426"/>
        </w:tabs>
        <w:ind w:left="426"/>
        <w:rPr>
          <w:rFonts w:ascii="Arial" w:hAnsi="Arial" w:cs="Arial"/>
          <w:color w:val="000000" w:themeColor="text1"/>
          <w:sz w:val="20"/>
          <w:lang w:val="en-US"/>
        </w:rPr>
      </w:pPr>
    </w:p>
    <w:p w14:paraId="67DCC92F" w14:textId="77777777" w:rsidR="008B358B" w:rsidRDefault="008B358B" w:rsidP="00260B47">
      <w:pPr>
        <w:tabs>
          <w:tab w:val="left" w:pos="426"/>
        </w:tabs>
        <w:ind w:left="426"/>
        <w:rPr>
          <w:rFonts w:ascii="Arial" w:hAnsi="Arial" w:cs="Arial"/>
          <w:color w:val="000000" w:themeColor="text1"/>
          <w:sz w:val="20"/>
          <w:lang w:val="en-US"/>
        </w:rPr>
      </w:pPr>
    </w:p>
    <w:p w14:paraId="7490F120" w14:textId="77777777" w:rsidR="003A7230" w:rsidRDefault="003A7230" w:rsidP="00260B47">
      <w:pPr>
        <w:tabs>
          <w:tab w:val="left" w:pos="426"/>
        </w:tabs>
        <w:ind w:left="426"/>
        <w:rPr>
          <w:rFonts w:ascii="Arial" w:hAnsi="Arial" w:cs="Arial"/>
          <w:color w:val="000000" w:themeColor="text1"/>
          <w:sz w:val="20"/>
          <w:lang w:val="en-US"/>
        </w:rPr>
      </w:pPr>
    </w:p>
    <w:p w14:paraId="6A09DF93" w14:textId="77777777" w:rsidR="003A7230" w:rsidRPr="003A7230" w:rsidRDefault="003A7230" w:rsidP="00260B47">
      <w:pPr>
        <w:tabs>
          <w:tab w:val="left" w:pos="426"/>
        </w:tabs>
        <w:ind w:left="426"/>
        <w:rPr>
          <w:rFonts w:ascii="Arial" w:hAnsi="Arial" w:cs="Arial"/>
          <w:color w:val="000000" w:themeColor="text1"/>
          <w:sz w:val="20"/>
          <w:lang w:val="en-US"/>
        </w:rPr>
      </w:pPr>
    </w:p>
    <w:p w14:paraId="6C2E0314" w14:textId="1122F4B9" w:rsidR="008B358B" w:rsidRPr="003A7230" w:rsidRDefault="00BF3CE4" w:rsidP="00BF3CE4">
      <w:pPr>
        <w:tabs>
          <w:tab w:val="left" w:pos="426"/>
        </w:tabs>
        <w:ind w:left="426"/>
        <w:rPr>
          <w:rFonts w:ascii="Arial" w:hAnsi="Arial" w:cs="Arial"/>
          <w:color w:val="000000" w:themeColor="text1"/>
          <w:sz w:val="20"/>
          <w:lang w:val="en-US"/>
        </w:rPr>
      </w:pPr>
      <w:r w:rsidRPr="007D334B">
        <w:rPr>
          <w:rFonts w:ascii="Arial" w:hAnsi="Arial" w:cs="Arial"/>
          <w:sz w:val="20"/>
          <w:lang w:val="en-US"/>
        </w:rPr>
        <w:lastRenderedPageBreak/>
        <w:t>IMPORT</w:t>
      </w:r>
    </w:p>
    <w:p w14:paraId="163026CD" w14:textId="47B8D824" w:rsidR="008B358B" w:rsidRPr="003A7230" w:rsidRDefault="00BF3CE4" w:rsidP="00BF3CE4">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Looking at the import of foreign technology into our market in the first quarter 2024 </w:t>
      </w:r>
      <w:r w:rsidRPr="007D334B">
        <w:rPr>
          <w:rFonts w:ascii="Arial" w:hAnsi="Arial" w:cs="Arial"/>
          <w:i/>
          <w:iCs/>
          <w:sz w:val="20"/>
          <w:lang w:val="en-US"/>
        </w:rPr>
        <w:t>(table 3),</w:t>
      </w:r>
      <w:r w:rsidRPr="007D334B">
        <w:rPr>
          <w:rFonts w:ascii="Arial" w:hAnsi="Arial" w:cs="Arial"/>
          <w:sz w:val="20"/>
          <w:lang w:val="en-US"/>
        </w:rPr>
        <w:t xml:space="preserve"> we see further evidence of the stagnation that has characterized Italy, although the figures are really limited: import from </w:t>
      </w:r>
      <w:r w:rsidRPr="007D334B">
        <w:rPr>
          <w:rFonts w:ascii="Arial" w:hAnsi="Arial" w:cs="Arial"/>
          <w:b/>
          <w:bCs/>
          <w:sz w:val="20"/>
          <w:lang w:val="en-US"/>
        </w:rPr>
        <w:t>Germany</w:t>
      </w:r>
      <w:r w:rsidRPr="007D334B">
        <w:rPr>
          <w:rFonts w:ascii="Arial" w:hAnsi="Arial" w:cs="Arial"/>
          <w:sz w:val="20"/>
          <w:lang w:val="en-US"/>
        </w:rPr>
        <w:t xml:space="preserve"> decreased by 35.6 percent, from </w:t>
      </w:r>
      <w:r w:rsidRPr="007D334B">
        <w:rPr>
          <w:rFonts w:ascii="Arial" w:hAnsi="Arial" w:cs="Arial"/>
          <w:b/>
          <w:bCs/>
          <w:sz w:val="20"/>
          <w:lang w:val="en-US"/>
        </w:rPr>
        <w:t>China</w:t>
      </w:r>
      <w:r w:rsidRPr="007D334B">
        <w:rPr>
          <w:rFonts w:ascii="Arial" w:hAnsi="Arial" w:cs="Arial"/>
          <w:sz w:val="20"/>
          <w:lang w:val="en-US"/>
        </w:rPr>
        <w:t xml:space="preserve"> by 20.5 percent and from </w:t>
      </w:r>
      <w:r w:rsidRPr="007D334B">
        <w:rPr>
          <w:rFonts w:ascii="Arial" w:hAnsi="Arial" w:cs="Arial"/>
          <w:b/>
          <w:bCs/>
          <w:sz w:val="20"/>
          <w:lang w:val="en-US"/>
        </w:rPr>
        <w:t>Switzerland</w:t>
      </w:r>
      <w:r w:rsidRPr="007D334B">
        <w:rPr>
          <w:rFonts w:ascii="Arial" w:hAnsi="Arial" w:cs="Arial"/>
          <w:sz w:val="20"/>
          <w:lang w:val="en-US"/>
        </w:rPr>
        <w:t xml:space="preserve"> by 12.3 percent; </w:t>
      </w:r>
      <w:r w:rsidRPr="007D334B">
        <w:rPr>
          <w:rFonts w:ascii="Arial" w:hAnsi="Arial" w:cs="Arial"/>
          <w:b/>
          <w:bCs/>
          <w:sz w:val="20"/>
          <w:lang w:val="en-US"/>
        </w:rPr>
        <w:t>Austria</w:t>
      </w:r>
      <w:r w:rsidRPr="007D334B">
        <w:rPr>
          <w:rFonts w:ascii="Arial" w:hAnsi="Arial" w:cs="Arial"/>
          <w:sz w:val="20"/>
          <w:lang w:val="en-US"/>
        </w:rPr>
        <w:t xml:space="preserve"> recorded an 8.7 percent growth of sales to Italy.</w:t>
      </w:r>
    </w:p>
    <w:p w14:paraId="26848F6C" w14:textId="07B7324E" w:rsidR="007D7A5F" w:rsidRPr="003A7230" w:rsidRDefault="00BF3CE4" w:rsidP="00BF3CE4">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More generally, import in the January-March 2024 period amounted to </w:t>
      </w:r>
      <w:r w:rsidRPr="007D334B">
        <w:rPr>
          <w:rFonts w:ascii="Arial" w:hAnsi="Arial" w:cs="Arial"/>
          <w:b/>
          <w:bCs/>
          <w:sz w:val="20"/>
          <w:lang w:val="en-US"/>
        </w:rPr>
        <w:t>39.4 million euro</w:t>
      </w:r>
      <w:r w:rsidR="00FF5FC6">
        <w:rPr>
          <w:rFonts w:ascii="Arial" w:hAnsi="Arial" w:cs="Arial"/>
          <w:b/>
          <w:bCs/>
          <w:sz w:val="20"/>
          <w:lang w:val="en-US"/>
        </w:rPr>
        <w:t>s</w:t>
      </w:r>
      <w:r w:rsidRPr="007D334B">
        <w:rPr>
          <w:rFonts w:ascii="Arial" w:hAnsi="Arial" w:cs="Arial"/>
          <w:sz w:val="20"/>
          <w:lang w:val="en-US"/>
        </w:rPr>
        <w:t>, just above 10 percent of export and dropping by 23.9 percent compared to the same period in 2023.</w:t>
      </w:r>
    </w:p>
    <w:p w14:paraId="34223FE2" w14:textId="1A118FC3" w:rsidR="009F6C8F" w:rsidRPr="003A7230" w:rsidRDefault="00BF3CE4" w:rsidP="00C67A80">
      <w:pPr>
        <w:tabs>
          <w:tab w:val="left" w:pos="426"/>
        </w:tabs>
        <w:ind w:left="426"/>
        <w:rPr>
          <w:rFonts w:ascii="Arial" w:hAnsi="Arial" w:cs="Arial"/>
          <w:color w:val="000000" w:themeColor="text1"/>
          <w:sz w:val="20"/>
          <w:lang w:val="en-US"/>
        </w:rPr>
      </w:pPr>
      <w:r w:rsidRPr="007D334B">
        <w:rPr>
          <w:rFonts w:ascii="Arial" w:hAnsi="Arial" w:cs="Arial"/>
          <w:sz w:val="20"/>
          <w:lang w:val="en-US"/>
        </w:rPr>
        <w:t xml:space="preserve">If we look at the figures by region </w:t>
      </w:r>
      <w:r w:rsidRPr="007D334B">
        <w:rPr>
          <w:rFonts w:ascii="Arial" w:hAnsi="Arial" w:cs="Arial"/>
          <w:i/>
          <w:iCs/>
          <w:sz w:val="20"/>
          <w:lang w:val="en-US"/>
        </w:rPr>
        <w:t xml:space="preserve">(table 4), </w:t>
      </w:r>
      <w:r w:rsidRPr="007D334B">
        <w:rPr>
          <w:rFonts w:ascii="Arial" w:hAnsi="Arial" w:cs="Arial"/>
          <w:sz w:val="20"/>
          <w:lang w:val="en-US"/>
        </w:rPr>
        <w:t xml:space="preserve">we can say that the </w:t>
      </w:r>
      <w:r w:rsidRPr="007D334B">
        <w:rPr>
          <w:rFonts w:ascii="Arial" w:hAnsi="Arial" w:cs="Arial"/>
          <w:b/>
          <w:bCs/>
          <w:sz w:val="20"/>
          <w:lang w:val="en-US"/>
        </w:rPr>
        <w:t xml:space="preserve">European Union </w:t>
      </w:r>
      <w:r w:rsidRPr="007D334B">
        <w:rPr>
          <w:rFonts w:ascii="Arial" w:hAnsi="Arial" w:cs="Arial"/>
          <w:sz w:val="20"/>
          <w:lang w:val="en-US"/>
        </w:rPr>
        <w:t>remains the most “interesting” origin, with 23.3 million euro</w:t>
      </w:r>
      <w:r w:rsidR="00FF5FC6">
        <w:rPr>
          <w:rFonts w:ascii="Arial" w:hAnsi="Arial" w:cs="Arial"/>
          <w:sz w:val="20"/>
          <w:lang w:val="en-US"/>
        </w:rPr>
        <w:t>s</w:t>
      </w:r>
      <w:r w:rsidRPr="007D334B">
        <w:rPr>
          <w:rFonts w:ascii="Arial" w:hAnsi="Arial" w:cs="Arial"/>
          <w:sz w:val="20"/>
          <w:lang w:val="en-US"/>
        </w:rPr>
        <w:t xml:space="preserve"> in the period under scrutiny despite a 24.6 percent reduction from the same period in 2023, </w:t>
      </w:r>
      <w:r w:rsidR="00C67A80" w:rsidRPr="007D334B">
        <w:rPr>
          <w:rFonts w:ascii="Arial" w:hAnsi="Arial" w:cs="Arial"/>
          <w:sz w:val="20"/>
          <w:lang w:val="en-US"/>
        </w:rPr>
        <w:t>and a 59.2 share on total Italian import</w:t>
      </w:r>
      <w:r w:rsidRPr="007D334B">
        <w:rPr>
          <w:rFonts w:ascii="Arial" w:hAnsi="Arial" w:cs="Arial"/>
          <w:sz w:val="20"/>
          <w:lang w:val="en-US"/>
        </w:rPr>
        <w:t>.</w:t>
      </w:r>
    </w:p>
    <w:p w14:paraId="7CEA0DB7" w14:textId="77777777" w:rsidR="0087505F" w:rsidRPr="003A7230" w:rsidRDefault="0087505F" w:rsidP="00260B47">
      <w:pPr>
        <w:tabs>
          <w:tab w:val="left" w:pos="426"/>
        </w:tabs>
        <w:ind w:left="426"/>
        <w:rPr>
          <w:rFonts w:ascii="Arial" w:hAnsi="Arial" w:cs="Arial"/>
          <w:color w:val="000000" w:themeColor="text1"/>
          <w:sz w:val="20"/>
          <w:lang w:val="en-US"/>
        </w:rPr>
      </w:pPr>
    </w:p>
    <w:p w14:paraId="501C3ABD" w14:textId="2EC4F2E0" w:rsidR="0087505F" w:rsidRPr="003A7230" w:rsidRDefault="00C67A80" w:rsidP="00C67A80">
      <w:pPr>
        <w:tabs>
          <w:tab w:val="left" w:pos="426"/>
        </w:tabs>
        <w:ind w:left="426"/>
        <w:rPr>
          <w:rFonts w:ascii="Arial" w:hAnsi="Arial" w:cs="Arial"/>
          <w:i/>
          <w:iCs/>
          <w:color w:val="000000" w:themeColor="text1"/>
          <w:sz w:val="20"/>
          <w:lang w:val="en-US"/>
        </w:rPr>
      </w:pPr>
      <w:r w:rsidRPr="007D334B">
        <w:rPr>
          <w:rFonts w:ascii="Arial" w:hAnsi="Arial" w:cs="Arial"/>
          <w:i/>
          <w:iCs/>
          <w:sz w:val="20"/>
          <w:lang w:val="en-US"/>
        </w:rPr>
        <w:t>“The evidence we should probably focus on is the marginal role of Africa for Italian manufacturers”</w:t>
      </w:r>
      <w:r w:rsidRPr="007D334B">
        <w:rPr>
          <w:rFonts w:ascii="Arial" w:hAnsi="Arial" w:cs="Arial"/>
          <w:sz w:val="20"/>
          <w:lang w:val="en-US"/>
        </w:rPr>
        <w:t xml:space="preserve">, said </w:t>
      </w:r>
      <w:proofErr w:type="spellStart"/>
      <w:r w:rsidRPr="007D334B">
        <w:rPr>
          <w:rFonts w:ascii="Arial" w:hAnsi="Arial" w:cs="Arial"/>
          <w:sz w:val="20"/>
          <w:lang w:val="en-US"/>
        </w:rPr>
        <w:t>Acimall’s</w:t>
      </w:r>
      <w:proofErr w:type="spellEnd"/>
      <w:r w:rsidRPr="007D334B">
        <w:rPr>
          <w:rFonts w:ascii="Arial" w:hAnsi="Arial" w:cs="Arial"/>
          <w:sz w:val="20"/>
          <w:lang w:val="en-US"/>
        </w:rPr>
        <w:t xml:space="preserve"> director </w:t>
      </w:r>
      <w:r w:rsidRPr="007D334B">
        <w:rPr>
          <w:rFonts w:ascii="Arial" w:hAnsi="Arial" w:cs="Arial"/>
          <w:b/>
          <w:bCs/>
          <w:sz w:val="20"/>
          <w:lang w:val="en-US"/>
        </w:rPr>
        <w:t>Dario Corbetta</w:t>
      </w:r>
      <w:r w:rsidRPr="007D334B">
        <w:rPr>
          <w:rFonts w:ascii="Arial" w:hAnsi="Arial" w:cs="Arial"/>
          <w:sz w:val="20"/>
          <w:lang w:val="en-US"/>
        </w:rPr>
        <w:t>.</w:t>
      </w:r>
      <w:r w:rsidR="0006010F" w:rsidRPr="003A7230">
        <w:rPr>
          <w:rFonts w:ascii="Arial" w:hAnsi="Arial" w:cs="Arial"/>
          <w:color w:val="000000" w:themeColor="text1"/>
          <w:sz w:val="20"/>
          <w:lang w:val="en-US"/>
        </w:rPr>
        <w:t xml:space="preserve"> </w:t>
      </w:r>
      <w:r w:rsidRPr="007D334B">
        <w:rPr>
          <w:rFonts w:ascii="Arial" w:hAnsi="Arial" w:cs="Arial"/>
          <w:i/>
          <w:iCs/>
          <w:sz w:val="20"/>
          <w:lang w:val="en-US"/>
        </w:rPr>
        <w:t>“Despite geographical proximity and the commitment of our government to develop more profitable relations, the penetration of our industry in Africa is still limited, especially if you consider that China, instead, supposedly sold woodworking technology for approximately 100 million euro</w:t>
      </w:r>
      <w:r w:rsidR="00FF5FC6">
        <w:rPr>
          <w:rFonts w:ascii="Arial" w:hAnsi="Arial" w:cs="Arial"/>
          <w:i/>
          <w:iCs/>
          <w:sz w:val="20"/>
          <w:lang w:val="en-US"/>
        </w:rPr>
        <w:t>s</w:t>
      </w:r>
      <w:r w:rsidRPr="007D334B">
        <w:rPr>
          <w:rFonts w:ascii="Arial" w:hAnsi="Arial" w:cs="Arial"/>
          <w:i/>
          <w:iCs/>
          <w:sz w:val="20"/>
          <w:lang w:val="en-US"/>
        </w:rPr>
        <w:t xml:space="preserve"> in 2023.</w:t>
      </w:r>
    </w:p>
    <w:p w14:paraId="21CE4AC0" w14:textId="39D6010E" w:rsidR="00A07B98" w:rsidRPr="003A7230" w:rsidRDefault="00C67A80" w:rsidP="00C67A80">
      <w:pPr>
        <w:tabs>
          <w:tab w:val="left" w:pos="426"/>
        </w:tabs>
        <w:ind w:left="426"/>
        <w:rPr>
          <w:rFonts w:ascii="Arial" w:hAnsi="Arial" w:cs="Arial"/>
          <w:color w:val="000000" w:themeColor="text1"/>
          <w:sz w:val="20"/>
          <w:lang w:val="en-US"/>
        </w:rPr>
      </w:pPr>
      <w:r w:rsidRPr="007D334B">
        <w:rPr>
          <w:rFonts w:ascii="Arial" w:hAnsi="Arial" w:cs="Arial"/>
          <w:b/>
          <w:bCs/>
          <w:i/>
          <w:iCs/>
          <w:sz w:val="20"/>
          <w:lang w:val="en-US"/>
        </w:rPr>
        <w:t>North America</w:t>
      </w:r>
      <w:r w:rsidRPr="007D334B">
        <w:rPr>
          <w:rFonts w:ascii="Arial" w:hAnsi="Arial" w:cs="Arial"/>
          <w:i/>
          <w:iCs/>
          <w:sz w:val="20"/>
          <w:lang w:val="en-US"/>
        </w:rPr>
        <w:t xml:space="preserve"> remains a highly relevant partner for our companies, and the same goes for </w:t>
      </w:r>
      <w:r w:rsidRPr="007D334B">
        <w:rPr>
          <w:rFonts w:ascii="Arial" w:hAnsi="Arial" w:cs="Arial"/>
          <w:b/>
          <w:bCs/>
          <w:i/>
          <w:iCs/>
          <w:sz w:val="20"/>
          <w:lang w:val="en-US"/>
        </w:rPr>
        <w:t>Europe</w:t>
      </w:r>
      <w:r w:rsidRPr="007D334B">
        <w:rPr>
          <w:rFonts w:ascii="Arial" w:hAnsi="Arial" w:cs="Arial"/>
          <w:i/>
          <w:iCs/>
          <w:sz w:val="20"/>
          <w:lang w:val="en-US"/>
        </w:rPr>
        <w:t>, although maybe we should consider the latter an expansion of the domestic market rather than an export destination”.</w:t>
      </w:r>
      <w:r w:rsidR="00073FC5">
        <w:rPr>
          <w:rFonts w:ascii="Arial" w:hAnsi="Arial" w:cs="Arial"/>
          <w:i/>
          <w:iCs/>
          <w:sz w:val="20"/>
          <w:lang w:val="en-US"/>
        </w:rPr>
        <w:t xml:space="preserve">    </w:t>
      </w:r>
    </w:p>
    <w:p w14:paraId="2A6C176D" w14:textId="77777777" w:rsidR="003A214D" w:rsidRPr="003A7230" w:rsidRDefault="003A214D" w:rsidP="007D0EA8">
      <w:pPr>
        <w:tabs>
          <w:tab w:val="left" w:pos="426"/>
        </w:tabs>
        <w:rPr>
          <w:rFonts w:ascii="Arial" w:hAnsi="Arial" w:cs="Arial"/>
          <w:color w:val="000000" w:themeColor="text1"/>
          <w:sz w:val="20"/>
          <w:lang w:val="en-US"/>
        </w:rPr>
      </w:pPr>
    </w:p>
    <w:p w14:paraId="69462C37" w14:textId="77777777" w:rsidR="00724026" w:rsidRPr="003A7230" w:rsidRDefault="00724026" w:rsidP="00724026">
      <w:pPr>
        <w:tabs>
          <w:tab w:val="left" w:pos="426"/>
        </w:tabs>
        <w:ind w:left="426"/>
        <w:rPr>
          <w:rFonts w:ascii="Arial" w:hAnsi="Arial" w:cs="Arial"/>
          <w:i/>
          <w:sz w:val="20"/>
          <w:lang w:val="en-US"/>
        </w:rPr>
      </w:pPr>
    </w:p>
    <w:p w14:paraId="481E15E3" w14:textId="77777777" w:rsidR="005621FE" w:rsidRPr="003A7230" w:rsidRDefault="005621FE" w:rsidP="00724026">
      <w:pPr>
        <w:tabs>
          <w:tab w:val="left" w:pos="426"/>
        </w:tabs>
        <w:ind w:left="426"/>
        <w:rPr>
          <w:rFonts w:ascii="Arial" w:hAnsi="Arial" w:cs="Arial"/>
          <w:i/>
          <w:sz w:val="20"/>
          <w:lang w:val="en-US"/>
        </w:rPr>
      </w:pPr>
    </w:p>
    <w:p w14:paraId="71E79159" w14:textId="77777777" w:rsidR="005621FE" w:rsidRPr="003A7230" w:rsidRDefault="005621FE" w:rsidP="00724026">
      <w:pPr>
        <w:tabs>
          <w:tab w:val="left" w:pos="426"/>
        </w:tabs>
        <w:ind w:left="426"/>
        <w:rPr>
          <w:rFonts w:ascii="Arial" w:hAnsi="Arial" w:cs="Arial"/>
          <w:i/>
          <w:sz w:val="20"/>
          <w:lang w:val="en-US"/>
        </w:rPr>
      </w:pPr>
    </w:p>
    <w:p w14:paraId="7367E250" w14:textId="77777777" w:rsidR="00F00EE7" w:rsidRPr="003A7230" w:rsidRDefault="00F00EE7" w:rsidP="00F00EE7">
      <w:pPr>
        <w:tabs>
          <w:tab w:val="left" w:pos="426"/>
        </w:tabs>
        <w:ind w:left="426"/>
        <w:rPr>
          <w:rFonts w:ascii="Arial" w:hAnsi="Arial" w:cs="Arial"/>
          <w:sz w:val="20"/>
          <w:lang w:val="en-US"/>
        </w:rPr>
      </w:pPr>
    </w:p>
    <w:p w14:paraId="6BDCCF7E" w14:textId="215EE2A5" w:rsidR="00840088" w:rsidRPr="00C67A80" w:rsidRDefault="00C67A80" w:rsidP="00C67A80">
      <w:pPr>
        <w:ind w:left="426"/>
        <w:rPr>
          <w:rFonts w:ascii="Arial" w:hAnsi="Arial" w:cs="Arial"/>
          <w:color w:val="000000" w:themeColor="text1"/>
          <w:sz w:val="20"/>
        </w:rPr>
      </w:pPr>
      <w:r w:rsidRPr="007D334B">
        <w:rPr>
          <w:rFonts w:ascii="Arial" w:hAnsi="Arial" w:cs="Arial"/>
          <w:i/>
          <w:sz w:val="20"/>
          <w:lang w:val="en-US"/>
        </w:rPr>
        <w:t>For more information:</w:t>
      </w:r>
    </w:p>
    <w:p w14:paraId="1110F91B" w14:textId="77777777" w:rsidR="00840088" w:rsidRPr="00F00EE7" w:rsidRDefault="00840088" w:rsidP="00840088">
      <w:pPr>
        <w:tabs>
          <w:tab w:val="left" w:pos="567"/>
        </w:tabs>
        <w:ind w:left="426"/>
        <w:jc w:val="both"/>
        <w:outlineLvl w:val="0"/>
        <w:rPr>
          <w:rFonts w:ascii="Arial" w:hAnsi="Arial" w:cs="Arial"/>
          <w:b/>
          <w:color w:val="000000" w:themeColor="text1"/>
          <w:sz w:val="20"/>
        </w:rPr>
      </w:pPr>
      <w:r w:rsidRPr="00F00EE7">
        <w:rPr>
          <w:rFonts w:ascii="Arial" w:hAnsi="Arial" w:cs="Arial"/>
          <w:b/>
          <w:color w:val="000000" w:themeColor="text1"/>
          <w:sz w:val="20"/>
        </w:rPr>
        <w:t>Luca Rossetti</w:t>
      </w:r>
    </w:p>
    <w:p w14:paraId="3FFC3468" w14:textId="24E535A9" w:rsidR="00AF50EF" w:rsidRPr="00F00EE7" w:rsidRDefault="00840088" w:rsidP="008570D7">
      <w:pPr>
        <w:tabs>
          <w:tab w:val="left" w:pos="560"/>
        </w:tabs>
        <w:ind w:left="426"/>
        <w:jc w:val="both"/>
        <w:outlineLvl w:val="0"/>
        <w:rPr>
          <w:rFonts w:ascii="Arial" w:hAnsi="Arial" w:cs="Arial"/>
          <w:color w:val="000000" w:themeColor="text1"/>
          <w:sz w:val="20"/>
          <w:u w:val="single"/>
        </w:rPr>
      </w:pPr>
      <w:r w:rsidRPr="00F00EE7">
        <w:rPr>
          <w:rFonts w:ascii="Arial" w:hAnsi="Arial" w:cs="Arial"/>
          <w:color w:val="000000" w:themeColor="text1"/>
          <w:sz w:val="20"/>
        </w:rPr>
        <w:t>+39 3</w:t>
      </w:r>
      <w:r w:rsidR="0068221D" w:rsidRPr="00F00EE7">
        <w:rPr>
          <w:rFonts w:ascii="Arial" w:hAnsi="Arial" w:cs="Arial"/>
          <w:color w:val="000000" w:themeColor="text1"/>
          <w:sz w:val="20"/>
        </w:rPr>
        <w:t>51</w:t>
      </w:r>
      <w:r w:rsidRPr="00F00EE7">
        <w:rPr>
          <w:rFonts w:ascii="Arial" w:hAnsi="Arial" w:cs="Arial"/>
          <w:color w:val="000000" w:themeColor="text1"/>
          <w:sz w:val="20"/>
        </w:rPr>
        <w:t xml:space="preserve"> </w:t>
      </w:r>
      <w:r w:rsidR="0068221D" w:rsidRPr="00F00EE7">
        <w:rPr>
          <w:rFonts w:ascii="Arial" w:hAnsi="Arial" w:cs="Arial"/>
          <w:color w:val="000000" w:themeColor="text1"/>
          <w:sz w:val="20"/>
        </w:rPr>
        <w:t>9098189</w:t>
      </w:r>
      <w:r w:rsidRPr="00F00EE7">
        <w:rPr>
          <w:rFonts w:ascii="Arial" w:hAnsi="Arial" w:cs="Arial"/>
          <w:color w:val="000000" w:themeColor="text1"/>
          <w:sz w:val="20"/>
        </w:rPr>
        <w:t xml:space="preserve"> -</w:t>
      </w:r>
      <w:r w:rsidRPr="005621FE">
        <w:rPr>
          <w:rFonts w:ascii="Arial" w:hAnsi="Arial" w:cs="Arial"/>
          <w:color w:val="000000" w:themeColor="text1"/>
          <w:sz w:val="20"/>
        </w:rPr>
        <w:t xml:space="preserve"> </w:t>
      </w:r>
      <w:hyperlink r:id="rId8" w:history="1">
        <w:r w:rsidRPr="005621FE">
          <w:rPr>
            <w:rStyle w:val="Collegamentoipertestuale"/>
            <w:rFonts w:ascii="Arial" w:hAnsi="Arial" w:cs="Arial"/>
            <w:color w:val="000000" w:themeColor="text1"/>
            <w:sz w:val="20"/>
            <w:u w:val="none"/>
          </w:rPr>
          <w:t>press@acimall.com</w:t>
        </w:r>
      </w:hyperlink>
    </w:p>
    <w:sectPr w:rsidR="00AF50EF" w:rsidRPr="00F00EE7" w:rsidSect="00665F2F">
      <w:headerReference w:type="default" r:id="rId9"/>
      <w:footerReference w:type="even" r:id="rId10"/>
      <w:footerReference w:type="default" r:id="rId11"/>
      <w:headerReference w:type="first" r:id="rId12"/>
      <w:footerReference w:type="first" r:id="rId13"/>
      <w:pgSz w:w="11906" w:h="16838" w:code="9"/>
      <w:pgMar w:top="1276" w:right="990" w:bottom="142"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44813" w14:textId="77777777" w:rsidR="00EE7E10" w:rsidRDefault="00EE7E10">
      <w:r>
        <w:separator/>
      </w:r>
    </w:p>
  </w:endnote>
  <w:endnote w:type="continuationSeparator" w:id="0">
    <w:p w14:paraId="7FE8B175" w14:textId="77777777" w:rsidR="00EE7E10" w:rsidRDefault="00EE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5BF6" w14:textId="77777777" w:rsidR="00BD6D92" w:rsidRDefault="00BD6D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BD6D92" w:rsidRDefault="00BD6D9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B5DE1" w14:textId="77777777" w:rsidR="00BD6D92" w:rsidRDefault="00BD6D92">
    <w:pPr>
      <w:pStyle w:val="Pidipagina"/>
      <w:framePr w:wrap="around" w:vAnchor="text" w:hAnchor="page" w:x="5488" w:y="524"/>
      <w:jc w:val="center"/>
      <w:rPr>
        <w:rStyle w:val="Numeropagina"/>
      </w:rPr>
    </w:pPr>
  </w:p>
  <w:p w14:paraId="6A2D504F" w14:textId="77777777" w:rsidR="00BD6D92" w:rsidRDefault="00BD6D92">
    <w:pPr>
      <w:pStyle w:val="Pidipagina"/>
      <w:ind w:right="360"/>
    </w:pPr>
    <w:r>
      <w:t xml:space="preserve">   </w:t>
    </w:r>
  </w:p>
  <w:p w14:paraId="676EE327" w14:textId="196C1161" w:rsidR="00BD6D92" w:rsidRDefault="00BD6D9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B1D6" w14:textId="77777777" w:rsidR="00BD6D92" w:rsidRDefault="00BD6D9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7AB1D" w14:textId="77777777" w:rsidR="00EE7E10" w:rsidRDefault="00EE7E10">
      <w:r>
        <w:separator/>
      </w:r>
    </w:p>
  </w:footnote>
  <w:footnote w:type="continuationSeparator" w:id="0">
    <w:p w14:paraId="3B9DB141" w14:textId="77777777" w:rsidR="00EE7E10" w:rsidRDefault="00EE7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0CE48" w14:textId="6DC56FCB" w:rsidR="00BD6D92" w:rsidRDefault="00BD6D92">
    <w:pPr>
      <w:pStyle w:val="Intestazione"/>
      <w:ind w:left="360"/>
    </w:pPr>
  </w:p>
  <w:p w14:paraId="302658E1" w14:textId="77777777" w:rsidR="00BD6D92" w:rsidRDefault="00BD6D92">
    <w:pPr>
      <w:pStyle w:val="Intestazione"/>
      <w:ind w:left="360"/>
    </w:pPr>
  </w:p>
  <w:p w14:paraId="4A2C7678" w14:textId="77777777" w:rsidR="00BD6D92" w:rsidRDefault="00BD6D9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B4B7" w14:textId="39D9834C" w:rsidR="00BD6D92" w:rsidRDefault="00BD6D9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1569147067">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1809086607">
    <w:abstractNumId w:val="2"/>
  </w:num>
  <w:num w:numId="3" w16cid:durableId="49846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0D59"/>
    <w:rsid w:val="000127B7"/>
    <w:rsid w:val="0001539F"/>
    <w:rsid w:val="0001721B"/>
    <w:rsid w:val="00026A53"/>
    <w:rsid w:val="0006010F"/>
    <w:rsid w:val="00060D5B"/>
    <w:rsid w:val="000630DB"/>
    <w:rsid w:val="00072572"/>
    <w:rsid w:val="00073FC5"/>
    <w:rsid w:val="000851C9"/>
    <w:rsid w:val="00087FD9"/>
    <w:rsid w:val="00095C56"/>
    <w:rsid w:val="000A33AA"/>
    <w:rsid w:val="000B731F"/>
    <w:rsid w:val="000C05B7"/>
    <w:rsid w:val="000C2E18"/>
    <w:rsid w:val="000C4AD3"/>
    <w:rsid w:val="000C5C5F"/>
    <w:rsid w:val="000E417A"/>
    <w:rsid w:val="000E4BEE"/>
    <w:rsid w:val="000E661F"/>
    <w:rsid w:val="000E6F8E"/>
    <w:rsid w:val="000E7459"/>
    <w:rsid w:val="000F4C0F"/>
    <w:rsid w:val="00104F31"/>
    <w:rsid w:val="001258BE"/>
    <w:rsid w:val="00126C51"/>
    <w:rsid w:val="00130D7E"/>
    <w:rsid w:val="00140D22"/>
    <w:rsid w:val="00142024"/>
    <w:rsid w:val="00146A9C"/>
    <w:rsid w:val="00163A91"/>
    <w:rsid w:val="001670C8"/>
    <w:rsid w:val="001702AD"/>
    <w:rsid w:val="0017075B"/>
    <w:rsid w:val="00174464"/>
    <w:rsid w:val="0018053C"/>
    <w:rsid w:val="00180621"/>
    <w:rsid w:val="001812CA"/>
    <w:rsid w:val="00181C29"/>
    <w:rsid w:val="00181DE3"/>
    <w:rsid w:val="0018725E"/>
    <w:rsid w:val="00194570"/>
    <w:rsid w:val="001956B8"/>
    <w:rsid w:val="001A615F"/>
    <w:rsid w:val="001B28A8"/>
    <w:rsid w:val="001B415A"/>
    <w:rsid w:val="001B424B"/>
    <w:rsid w:val="001B57D7"/>
    <w:rsid w:val="001C421C"/>
    <w:rsid w:val="001D55EE"/>
    <w:rsid w:val="001D79A8"/>
    <w:rsid w:val="001E067F"/>
    <w:rsid w:val="001E6154"/>
    <w:rsid w:val="001E72A3"/>
    <w:rsid w:val="001F0D52"/>
    <w:rsid w:val="001F51B2"/>
    <w:rsid w:val="00203FD6"/>
    <w:rsid w:val="002042B0"/>
    <w:rsid w:val="00207FBA"/>
    <w:rsid w:val="00210CF8"/>
    <w:rsid w:val="002178A4"/>
    <w:rsid w:val="00224AB3"/>
    <w:rsid w:val="0023105F"/>
    <w:rsid w:val="00231659"/>
    <w:rsid w:val="00232B02"/>
    <w:rsid w:val="00245DE1"/>
    <w:rsid w:val="002545BF"/>
    <w:rsid w:val="00260B47"/>
    <w:rsid w:val="002632E5"/>
    <w:rsid w:val="002650C8"/>
    <w:rsid w:val="00272082"/>
    <w:rsid w:val="00277B4A"/>
    <w:rsid w:val="00286B70"/>
    <w:rsid w:val="00291DE3"/>
    <w:rsid w:val="00294EDD"/>
    <w:rsid w:val="002A753A"/>
    <w:rsid w:val="002C0297"/>
    <w:rsid w:val="002F11D9"/>
    <w:rsid w:val="002F2963"/>
    <w:rsid w:val="002F5769"/>
    <w:rsid w:val="002F7021"/>
    <w:rsid w:val="00304533"/>
    <w:rsid w:val="00305B4C"/>
    <w:rsid w:val="00306738"/>
    <w:rsid w:val="00307139"/>
    <w:rsid w:val="00313293"/>
    <w:rsid w:val="00313979"/>
    <w:rsid w:val="00326C06"/>
    <w:rsid w:val="00342D10"/>
    <w:rsid w:val="0034316E"/>
    <w:rsid w:val="00345D05"/>
    <w:rsid w:val="00365C65"/>
    <w:rsid w:val="00366693"/>
    <w:rsid w:val="00366E20"/>
    <w:rsid w:val="00376C83"/>
    <w:rsid w:val="00381921"/>
    <w:rsid w:val="003838AD"/>
    <w:rsid w:val="00386076"/>
    <w:rsid w:val="0039688D"/>
    <w:rsid w:val="003A214D"/>
    <w:rsid w:val="003A7230"/>
    <w:rsid w:val="003A73F0"/>
    <w:rsid w:val="003B059D"/>
    <w:rsid w:val="003B109F"/>
    <w:rsid w:val="003C6A0C"/>
    <w:rsid w:val="003D3CCC"/>
    <w:rsid w:val="003D553F"/>
    <w:rsid w:val="003F1E14"/>
    <w:rsid w:val="003F371B"/>
    <w:rsid w:val="003F5CBB"/>
    <w:rsid w:val="0040219C"/>
    <w:rsid w:val="00402794"/>
    <w:rsid w:val="0040679A"/>
    <w:rsid w:val="00406AB7"/>
    <w:rsid w:val="00416C21"/>
    <w:rsid w:val="00423CEB"/>
    <w:rsid w:val="004317DD"/>
    <w:rsid w:val="00434C7E"/>
    <w:rsid w:val="00440FDD"/>
    <w:rsid w:val="004525E1"/>
    <w:rsid w:val="004559D3"/>
    <w:rsid w:val="00463561"/>
    <w:rsid w:val="00471328"/>
    <w:rsid w:val="004720FA"/>
    <w:rsid w:val="004968E5"/>
    <w:rsid w:val="004B203B"/>
    <w:rsid w:val="004B3B06"/>
    <w:rsid w:val="004C4277"/>
    <w:rsid w:val="004E5439"/>
    <w:rsid w:val="004E619F"/>
    <w:rsid w:val="004E64E2"/>
    <w:rsid w:val="004F1488"/>
    <w:rsid w:val="004F1C0F"/>
    <w:rsid w:val="005033B4"/>
    <w:rsid w:val="00524EB0"/>
    <w:rsid w:val="00532AB7"/>
    <w:rsid w:val="00536329"/>
    <w:rsid w:val="00544E4C"/>
    <w:rsid w:val="00553F39"/>
    <w:rsid w:val="00556E60"/>
    <w:rsid w:val="005621FE"/>
    <w:rsid w:val="00566630"/>
    <w:rsid w:val="0056693C"/>
    <w:rsid w:val="00583DA9"/>
    <w:rsid w:val="00585084"/>
    <w:rsid w:val="005A2C26"/>
    <w:rsid w:val="005B514B"/>
    <w:rsid w:val="005C3375"/>
    <w:rsid w:val="005C788E"/>
    <w:rsid w:val="005D1711"/>
    <w:rsid w:val="005D4C94"/>
    <w:rsid w:val="005D6503"/>
    <w:rsid w:val="005D6F46"/>
    <w:rsid w:val="005D7B5B"/>
    <w:rsid w:val="005E5302"/>
    <w:rsid w:val="005F5DB2"/>
    <w:rsid w:val="00606A53"/>
    <w:rsid w:val="0062142E"/>
    <w:rsid w:val="0063567C"/>
    <w:rsid w:val="00665F2F"/>
    <w:rsid w:val="0066775B"/>
    <w:rsid w:val="00671AAE"/>
    <w:rsid w:val="00672554"/>
    <w:rsid w:val="0068221D"/>
    <w:rsid w:val="006826C3"/>
    <w:rsid w:val="00683168"/>
    <w:rsid w:val="0069229C"/>
    <w:rsid w:val="006A64E2"/>
    <w:rsid w:val="006B0C70"/>
    <w:rsid w:val="006B1101"/>
    <w:rsid w:val="006C02B5"/>
    <w:rsid w:val="006D0912"/>
    <w:rsid w:val="00705D68"/>
    <w:rsid w:val="007122E6"/>
    <w:rsid w:val="00720D6D"/>
    <w:rsid w:val="00724026"/>
    <w:rsid w:val="00724BEA"/>
    <w:rsid w:val="00736007"/>
    <w:rsid w:val="007443A2"/>
    <w:rsid w:val="00760EDC"/>
    <w:rsid w:val="007611D0"/>
    <w:rsid w:val="00762E78"/>
    <w:rsid w:val="00773075"/>
    <w:rsid w:val="007837BE"/>
    <w:rsid w:val="00786BB1"/>
    <w:rsid w:val="00786C26"/>
    <w:rsid w:val="00787E7F"/>
    <w:rsid w:val="007A6D51"/>
    <w:rsid w:val="007B17B4"/>
    <w:rsid w:val="007B2DBD"/>
    <w:rsid w:val="007B3109"/>
    <w:rsid w:val="007B4E57"/>
    <w:rsid w:val="007B72D5"/>
    <w:rsid w:val="007B78E8"/>
    <w:rsid w:val="007D0EA8"/>
    <w:rsid w:val="007D28CA"/>
    <w:rsid w:val="007D334B"/>
    <w:rsid w:val="007D7A5F"/>
    <w:rsid w:val="007E06BB"/>
    <w:rsid w:val="007E255D"/>
    <w:rsid w:val="007E5480"/>
    <w:rsid w:val="00800F6A"/>
    <w:rsid w:val="0080513A"/>
    <w:rsid w:val="00807D67"/>
    <w:rsid w:val="00830C43"/>
    <w:rsid w:val="00835B05"/>
    <w:rsid w:val="00840088"/>
    <w:rsid w:val="00840B4A"/>
    <w:rsid w:val="00856DB9"/>
    <w:rsid w:val="008570D7"/>
    <w:rsid w:val="00865C7A"/>
    <w:rsid w:val="0086642A"/>
    <w:rsid w:val="0087060B"/>
    <w:rsid w:val="0087505F"/>
    <w:rsid w:val="008850FB"/>
    <w:rsid w:val="00885E17"/>
    <w:rsid w:val="00891675"/>
    <w:rsid w:val="0089471C"/>
    <w:rsid w:val="008A5509"/>
    <w:rsid w:val="008B358B"/>
    <w:rsid w:val="008C261D"/>
    <w:rsid w:val="008C32CC"/>
    <w:rsid w:val="008C3ACA"/>
    <w:rsid w:val="008D4671"/>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41E08"/>
    <w:rsid w:val="00946C6A"/>
    <w:rsid w:val="00947D81"/>
    <w:rsid w:val="00960785"/>
    <w:rsid w:val="0096488C"/>
    <w:rsid w:val="009703DB"/>
    <w:rsid w:val="009720DF"/>
    <w:rsid w:val="00972D3C"/>
    <w:rsid w:val="00973A6D"/>
    <w:rsid w:val="00975B1A"/>
    <w:rsid w:val="009761D9"/>
    <w:rsid w:val="0097719C"/>
    <w:rsid w:val="00985C7E"/>
    <w:rsid w:val="00990459"/>
    <w:rsid w:val="00991CBC"/>
    <w:rsid w:val="00993D0D"/>
    <w:rsid w:val="009978F4"/>
    <w:rsid w:val="009B47DD"/>
    <w:rsid w:val="009C5B81"/>
    <w:rsid w:val="009C6F87"/>
    <w:rsid w:val="009D300B"/>
    <w:rsid w:val="009D651F"/>
    <w:rsid w:val="009E5E5C"/>
    <w:rsid w:val="009F6C8F"/>
    <w:rsid w:val="00A004C4"/>
    <w:rsid w:val="00A018A0"/>
    <w:rsid w:val="00A029E7"/>
    <w:rsid w:val="00A04536"/>
    <w:rsid w:val="00A06A7A"/>
    <w:rsid w:val="00A07B98"/>
    <w:rsid w:val="00A108DB"/>
    <w:rsid w:val="00A24050"/>
    <w:rsid w:val="00A24489"/>
    <w:rsid w:val="00A2581D"/>
    <w:rsid w:val="00A3515C"/>
    <w:rsid w:val="00A40003"/>
    <w:rsid w:val="00A46E67"/>
    <w:rsid w:val="00A54033"/>
    <w:rsid w:val="00A60694"/>
    <w:rsid w:val="00A76779"/>
    <w:rsid w:val="00A86E2C"/>
    <w:rsid w:val="00AA3019"/>
    <w:rsid w:val="00AB4D14"/>
    <w:rsid w:val="00AB77FB"/>
    <w:rsid w:val="00AB7930"/>
    <w:rsid w:val="00AE020C"/>
    <w:rsid w:val="00AE1B9E"/>
    <w:rsid w:val="00AE4257"/>
    <w:rsid w:val="00AE51EF"/>
    <w:rsid w:val="00AE669B"/>
    <w:rsid w:val="00AF50EF"/>
    <w:rsid w:val="00B024BA"/>
    <w:rsid w:val="00B0713B"/>
    <w:rsid w:val="00B10EE6"/>
    <w:rsid w:val="00B117FC"/>
    <w:rsid w:val="00B20C50"/>
    <w:rsid w:val="00B329E2"/>
    <w:rsid w:val="00B33B48"/>
    <w:rsid w:val="00B33F4A"/>
    <w:rsid w:val="00B47656"/>
    <w:rsid w:val="00B50A3F"/>
    <w:rsid w:val="00B657A0"/>
    <w:rsid w:val="00B65A3E"/>
    <w:rsid w:val="00B72A34"/>
    <w:rsid w:val="00B7327C"/>
    <w:rsid w:val="00B73C70"/>
    <w:rsid w:val="00B77080"/>
    <w:rsid w:val="00B8498F"/>
    <w:rsid w:val="00B9584F"/>
    <w:rsid w:val="00BC3417"/>
    <w:rsid w:val="00BC547E"/>
    <w:rsid w:val="00BD40BD"/>
    <w:rsid w:val="00BD4D44"/>
    <w:rsid w:val="00BD4E9A"/>
    <w:rsid w:val="00BD6D92"/>
    <w:rsid w:val="00BF2118"/>
    <w:rsid w:val="00BF2A90"/>
    <w:rsid w:val="00BF35BC"/>
    <w:rsid w:val="00BF3CE4"/>
    <w:rsid w:val="00C04852"/>
    <w:rsid w:val="00C07008"/>
    <w:rsid w:val="00C10DE6"/>
    <w:rsid w:val="00C11B67"/>
    <w:rsid w:val="00C12950"/>
    <w:rsid w:val="00C26EF2"/>
    <w:rsid w:val="00C313DA"/>
    <w:rsid w:val="00C41993"/>
    <w:rsid w:val="00C42222"/>
    <w:rsid w:val="00C435AF"/>
    <w:rsid w:val="00C441DA"/>
    <w:rsid w:val="00C54EF3"/>
    <w:rsid w:val="00C55169"/>
    <w:rsid w:val="00C60722"/>
    <w:rsid w:val="00C639FC"/>
    <w:rsid w:val="00C67A80"/>
    <w:rsid w:val="00C77E3D"/>
    <w:rsid w:val="00C91D54"/>
    <w:rsid w:val="00C93FA4"/>
    <w:rsid w:val="00C950C7"/>
    <w:rsid w:val="00C95E79"/>
    <w:rsid w:val="00C96A6C"/>
    <w:rsid w:val="00CA63AD"/>
    <w:rsid w:val="00CB70B1"/>
    <w:rsid w:val="00CB7879"/>
    <w:rsid w:val="00CD2067"/>
    <w:rsid w:val="00CE3887"/>
    <w:rsid w:val="00CE4D8E"/>
    <w:rsid w:val="00CE6324"/>
    <w:rsid w:val="00CE7C6D"/>
    <w:rsid w:val="00D0397B"/>
    <w:rsid w:val="00D04850"/>
    <w:rsid w:val="00D0677A"/>
    <w:rsid w:val="00D10A5D"/>
    <w:rsid w:val="00D16060"/>
    <w:rsid w:val="00D16C13"/>
    <w:rsid w:val="00D32BC8"/>
    <w:rsid w:val="00D42442"/>
    <w:rsid w:val="00D47E18"/>
    <w:rsid w:val="00D7134F"/>
    <w:rsid w:val="00D91B3F"/>
    <w:rsid w:val="00DB713D"/>
    <w:rsid w:val="00DB7438"/>
    <w:rsid w:val="00DC53CF"/>
    <w:rsid w:val="00DD038E"/>
    <w:rsid w:val="00DE3BC7"/>
    <w:rsid w:val="00DE3DFA"/>
    <w:rsid w:val="00E0003B"/>
    <w:rsid w:val="00E04E31"/>
    <w:rsid w:val="00E07556"/>
    <w:rsid w:val="00E12D44"/>
    <w:rsid w:val="00E211D9"/>
    <w:rsid w:val="00E2671D"/>
    <w:rsid w:val="00E26F68"/>
    <w:rsid w:val="00E6024D"/>
    <w:rsid w:val="00E60591"/>
    <w:rsid w:val="00E65415"/>
    <w:rsid w:val="00E655B9"/>
    <w:rsid w:val="00E66C6E"/>
    <w:rsid w:val="00E92C27"/>
    <w:rsid w:val="00EA05AD"/>
    <w:rsid w:val="00ED118D"/>
    <w:rsid w:val="00ED58AF"/>
    <w:rsid w:val="00EE1F8F"/>
    <w:rsid w:val="00EE7E10"/>
    <w:rsid w:val="00EF3187"/>
    <w:rsid w:val="00F00863"/>
    <w:rsid w:val="00F00EE7"/>
    <w:rsid w:val="00F01932"/>
    <w:rsid w:val="00F15D95"/>
    <w:rsid w:val="00F259BE"/>
    <w:rsid w:val="00F30178"/>
    <w:rsid w:val="00F3539D"/>
    <w:rsid w:val="00F379D8"/>
    <w:rsid w:val="00F64584"/>
    <w:rsid w:val="00F7011C"/>
    <w:rsid w:val="00F76DF4"/>
    <w:rsid w:val="00F8649A"/>
    <w:rsid w:val="00FA49B6"/>
    <w:rsid w:val="00FA798B"/>
    <w:rsid w:val="00FB5D0B"/>
    <w:rsid w:val="00FD043C"/>
    <w:rsid w:val="00FD2F1D"/>
    <w:rsid w:val="00FF2E86"/>
    <w:rsid w:val="00FF3313"/>
    <w:rsid w:val="00FF5FC6"/>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F93D08DB-8FE1-4446-BD88-F10E933D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 w:type="character" w:styleId="Enfasicorsivo">
    <w:name w:val="Emphasis"/>
    <w:basedOn w:val="Carpredefinitoparagrafo"/>
    <w:uiPriority w:val="20"/>
    <w:qFormat/>
    <w:rsid w:val="00026A53"/>
    <w:rPr>
      <w:i/>
      <w:iCs/>
    </w:rPr>
  </w:style>
  <w:style w:type="character" w:styleId="Enfasigrassetto">
    <w:name w:val="Strong"/>
    <w:basedOn w:val="Carpredefinitoparagrafo"/>
    <w:uiPriority w:val="22"/>
    <w:qFormat/>
    <w:rsid w:val="00026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178557">
      <w:bodyDiv w:val="1"/>
      <w:marLeft w:val="0"/>
      <w:marRight w:val="0"/>
      <w:marTop w:val="0"/>
      <w:marBottom w:val="0"/>
      <w:divBdr>
        <w:top w:val="none" w:sz="0" w:space="0" w:color="auto"/>
        <w:left w:val="none" w:sz="0" w:space="0" w:color="auto"/>
        <w:bottom w:val="none" w:sz="0" w:space="0" w:color="auto"/>
        <w:right w:val="none" w:sz="0" w:space="0" w:color="auto"/>
      </w:divBdr>
    </w:div>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2</Pages>
  <Words>706</Words>
  <Characters>4029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4726</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2024-02-14T08:00:00Z</cp:lastPrinted>
  <dcterms:created xsi:type="dcterms:W3CDTF">2024-07-02T07:14:00Z</dcterms:created>
  <dcterms:modified xsi:type="dcterms:W3CDTF">2024-07-02T07:14:00Z</dcterms:modified>
</cp:coreProperties>
</file>