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35475D9C" w14:textId="77777777" w:rsidTr="00A029E7">
        <w:trPr>
          <w:trHeight w:val="540"/>
        </w:trPr>
        <w:tc>
          <w:tcPr>
            <w:tcW w:w="3184" w:type="dxa"/>
          </w:tcPr>
          <w:p w14:paraId="34954A56" w14:textId="77777777"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E5197BD" w14:textId="77777777" w:rsidR="00C12950" w:rsidRDefault="00C12950" w:rsidP="00A029E7">
            <w:pPr>
              <w:pStyle w:val="Titolo1"/>
              <w:ind w:right="212"/>
              <w:jc w:val="both"/>
              <w:rPr>
                <w:sz w:val="18"/>
              </w:rPr>
            </w:pPr>
            <w:r>
              <w:rPr>
                <w:sz w:val="18"/>
              </w:rPr>
              <w:t>Acimall</w:t>
            </w:r>
          </w:p>
          <w:p w14:paraId="7B3706F9"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09136C15"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49260B37" w14:textId="77777777" w:rsidR="00C12950" w:rsidRDefault="00C12950" w:rsidP="00A029E7">
            <w:pPr>
              <w:ind w:right="212"/>
              <w:jc w:val="both"/>
              <w:rPr>
                <w:rFonts w:ascii="Helvetica" w:hAnsi="Helvetica"/>
                <w:sz w:val="16"/>
              </w:rPr>
            </w:pPr>
            <w:r>
              <w:rPr>
                <w:rFonts w:ascii="Helvetica" w:hAnsi="Helvetica"/>
                <w:sz w:val="16"/>
              </w:rPr>
              <w:t>I-20090 Assago (Milano)</w:t>
            </w:r>
          </w:p>
          <w:p w14:paraId="53890F8D" w14:textId="77777777" w:rsidR="00C12950" w:rsidRDefault="00C12950" w:rsidP="00A029E7">
            <w:pPr>
              <w:ind w:right="212"/>
              <w:jc w:val="both"/>
              <w:rPr>
                <w:rFonts w:ascii="Helvetica" w:hAnsi="Helvetica"/>
                <w:sz w:val="16"/>
              </w:rPr>
            </w:pPr>
            <w:r>
              <w:rPr>
                <w:rFonts w:ascii="Helvetica" w:hAnsi="Helvetica"/>
                <w:sz w:val="16"/>
              </w:rPr>
              <w:t>phone +39 02 89210200</w:t>
            </w:r>
          </w:p>
          <w:p w14:paraId="4C267481" w14:textId="77777777" w:rsidR="00C12950" w:rsidRDefault="00C12950" w:rsidP="00A029E7">
            <w:pPr>
              <w:ind w:right="212"/>
              <w:jc w:val="both"/>
              <w:rPr>
                <w:rFonts w:ascii="Helvetica" w:hAnsi="Helvetica"/>
                <w:sz w:val="16"/>
              </w:rPr>
            </w:pPr>
            <w:r>
              <w:rPr>
                <w:rFonts w:ascii="Helvetica" w:hAnsi="Helvetica"/>
                <w:sz w:val="16"/>
              </w:rPr>
              <w:t>fax +39 02 8259009</w:t>
            </w:r>
          </w:p>
          <w:p w14:paraId="7A50625C" w14:textId="77777777" w:rsidR="00C12950" w:rsidRDefault="00C12950" w:rsidP="00A029E7">
            <w:pPr>
              <w:ind w:right="212"/>
              <w:jc w:val="both"/>
              <w:rPr>
                <w:rFonts w:ascii="Helvetica" w:hAnsi="Helvetica"/>
                <w:sz w:val="16"/>
              </w:rPr>
            </w:pPr>
            <w:r>
              <w:rPr>
                <w:rFonts w:ascii="Helvetica" w:hAnsi="Helvetica"/>
                <w:sz w:val="16"/>
              </w:rPr>
              <w:t>www.acimall.com</w:t>
            </w:r>
          </w:p>
          <w:p w14:paraId="78DA5A08" w14:textId="77777777" w:rsidR="00C12950" w:rsidRDefault="00C12950" w:rsidP="00A029E7">
            <w:pPr>
              <w:ind w:right="212"/>
              <w:jc w:val="both"/>
            </w:pPr>
            <w:r>
              <w:rPr>
                <w:rFonts w:ascii="Helvetica" w:hAnsi="Helvetica"/>
                <w:sz w:val="16"/>
              </w:rPr>
              <w:t>info@acimall.com</w:t>
            </w:r>
          </w:p>
        </w:tc>
        <w:tc>
          <w:tcPr>
            <w:tcW w:w="2493" w:type="dxa"/>
          </w:tcPr>
          <w:p w14:paraId="6BBCD36C" w14:textId="032786AE" w:rsidR="00C12950" w:rsidRDefault="003D3CCC" w:rsidP="008E444A">
            <w:pPr>
              <w:ind w:left="-142" w:right="212"/>
              <w:jc w:val="right"/>
              <w:rPr>
                <w:rFonts w:ascii="Helvetica" w:hAnsi="Helvetica"/>
                <w:b/>
                <w:sz w:val="28"/>
              </w:rPr>
            </w:pPr>
            <w:r>
              <w:rPr>
                <w:rFonts w:ascii="Helvetica" w:hAnsi="Helvetica"/>
                <w:b/>
                <w:w w:val="108"/>
                <w:kern w:val="22"/>
                <w:sz w:val="28"/>
              </w:rPr>
              <w:t xml:space="preserve"> </w:t>
            </w:r>
            <w:r w:rsidR="00857F1B">
              <w:rPr>
                <w:rFonts w:ascii="Helvetica" w:hAnsi="Helvetica"/>
                <w:b/>
                <w:w w:val="108"/>
                <w:kern w:val="22"/>
                <w:sz w:val="28"/>
              </w:rPr>
              <w:t>press office</w:t>
            </w:r>
          </w:p>
          <w:p w14:paraId="4607D371" w14:textId="1B26F5B7" w:rsidR="00C12950" w:rsidRPr="00814730" w:rsidRDefault="00814730" w:rsidP="00D0397B">
            <w:pPr>
              <w:ind w:left="-142" w:right="212"/>
              <w:jc w:val="right"/>
              <w:rPr>
                <w:rFonts w:ascii="Gill Sans MT" w:hAnsi="Gill Sans MT"/>
                <w:b/>
                <w:color w:val="000000" w:themeColor="text1"/>
                <w:sz w:val="14"/>
              </w:rPr>
            </w:pPr>
            <w:r w:rsidRPr="00814730">
              <w:rPr>
                <w:rFonts w:ascii="Helvetica" w:hAnsi="Helvetica"/>
                <w:color w:val="000000" w:themeColor="text1"/>
                <w:sz w:val="14"/>
              </w:rPr>
              <w:t>31</w:t>
            </w:r>
            <w:r w:rsidR="00AE5435" w:rsidRPr="00814730">
              <w:rPr>
                <w:rFonts w:ascii="Helvetica" w:hAnsi="Helvetica"/>
                <w:color w:val="000000" w:themeColor="text1"/>
                <w:sz w:val="14"/>
              </w:rPr>
              <w:t xml:space="preserve"> </w:t>
            </w:r>
            <w:proofErr w:type="spellStart"/>
            <w:r w:rsidR="00857F1B">
              <w:rPr>
                <w:rFonts w:ascii="Helvetica" w:hAnsi="Helvetica"/>
                <w:color w:val="000000" w:themeColor="text1"/>
                <w:sz w:val="14"/>
              </w:rPr>
              <w:t>May</w:t>
            </w:r>
            <w:proofErr w:type="spellEnd"/>
            <w:r w:rsidR="005D6F46" w:rsidRPr="00814730">
              <w:rPr>
                <w:rFonts w:ascii="Helvetica" w:hAnsi="Helvetica"/>
                <w:color w:val="000000" w:themeColor="text1"/>
                <w:sz w:val="14"/>
              </w:rPr>
              <w:t xml:space="preserve"> 202</w:t>
            </w:r>
            <w:r w:rsidR="00D0397B" w:rsidRPr="00814730">
              <w:rPr>
                <w:rFonts w:ascii="Helvetica" w:hAnsi="Helvetica"/>
                <w:color w:val="000000" w:themeColor="text1"/>
                <w:sz w:val="14"/>
              </w:rPr>
              <w:t>2</w:t>
            </w:r>
          </w:p>
        </w:tc>
      </w:tr>
    </w:tbl>
    <w:p w14:paraId="0DDEEF0F" w14:textId="77777777" w:rsidR="00C12950" w:rsidRDefault="00C12950" w:rsidP="00C12950">
      <w:pPr>
        <w:jc w:val="both"/>
        <w:rPr>
          <w:rFonts w:ascii="Arial" w:hAnsi="Arial"/>
          <w:sz w:val="20"/>
        </w:rPr>
      </w:pPr>
    </w:p>
    <w:p w14:paraId="3C85CD91" w14:textId="77777777" w:rsidR="00C12950" w:rsidRPr="00B33B48" w:rsidRDefault="00C12950" w:rsidP="00B33B48">
      <w:pPr>
        <w:ind w:left="426"/>
        <w:jc w:val="both"/>
        <w:rPr>
          <w:rFonts w:ascii="Arial" w:hAnsi="Arial" w:cs="Arial"/>
          <w:sz w:val="20"/>
        </w:rPr>
      </w:pPr>
    </w:p>
    <w:p w14:paraId="742C1993" w14:textId="77777777" w:rsidR="009D300B" w:rsidRDefault="009D300B" w:rsidP="002C0A71">
      <w:pPr>
        <w:jc w:val="both"/>
        <w:rPr>
          <w:rFonts w:ascii="Arial" w:hAnsi="Arial" w:cs="Arial"/>
          <w:b/>
          <w:sz w:val="20"/>
        </w:rPr>
      </w:pPr>
    </w:p>
    <w:p w14:paraId="5ADE1DCD" w14:textId="77777777" w:rsidR="001670C8" w:rsidRDefault="001670C8" w:rsidP="00A76779">
      <w:pPr>
        <w:jc w:val="both"/>
        <w:rPr>
          <w:rFonts w:ascii="Arial" w:hAnsi="Arial" w:cs="Arial"/>
          <w:b/>
          <w:sz w:val="20"/>
        </w:rPr>
      </w:pPr>
    </w:p>
    <w:p w14:paraId="162A35FD" w14:textId="77777777" w:rsidR="001670C8" w:rsidRPr="00B33B48" w:rsidRDefault="001670C8" w:rsidP="00A76779">
      <w:pPr>
        <w:jc w:val="both"/>
        <w:rPr>
          <w:rFonts w:ascii="Arial" w:hAnsi="Arial" w:cs="Arial"/>
          <w:b/>
          <w:sz w:val="20"/>
        </w:rPr>
      </w:pPr>
    </w:p>
    <w:p w14:paraId="6C65EFB1" w14:textId="6ED5AD70" w:rsidR="00BC3417" w:rsidRDefault="00857F1B" w:rsidP="00857F1B">
      <w:pPr>
        <w:tabs>
          <w:tab w:val="left" w:pos="142"/>
        </w:tabs>
        <w:ind w:left="426"/>
        <w:jc w:val="both"/>
        <w:rPr>
          <w:rFonts w:ascii="Arial" w:hAnsi="Arial" w:cs="Arial"/>
          <w:b/>
          <w:color w:val="000000" w:themeColor="text1"/>
          <w:sz w:val="20"/>
        </w:rPr>
      </w:pPr>
      <w:r w:rsidRPr="00AF51DE">
        <w:rPr>
          <w:rFonts w:ascii="Arial" w:hAnsi="Arial" w:cs="Arial"/>
          <w:b/>
          <w:sz w:val="20"/>
          <w:lang w:val="en-US"/>
        </w:rPr>
        <w:t>WOODWORKING TECHNOLOGY:</w:t>
      </w:r>
      <w:r w:rsidR="008F4FEF" w:rsidRPr="00857F1B">
        <w:rPr>
          <w:rFonts w:ascii="Arial" w:hAnsi="Arial" w:cs="Arial"/>
          <w:b/>
          <w:color w:val="000000" w:themeColor="text1"/>
          <w:sz w:val="20"/>
        </w:rPr>
        <w:t xml:space="preserve"> </w:t>
      </w:r>
      <w:r w:rsidRPr="00AF51DE">
        <w:rPr>
          <w:rFonts w:ascii="Arial" w:hAnsi="Arial" w:cs="Arial"/>
          <w:b/>
          <w:sz w:val="20"/>
          <w:lang w:val="en-US"/>
        </w:rPr>
        <w:t>STILL AN EXCELLENT Q1</w:t>
      </w:r>
      <w:r w:rsidR="00307BED">
        <w:rPr>
          <w:rFonts w:ascii="Arial" w:hAnsi="Arial" w:cs="Arial"/>
          <w:b/>
          <w:sz w:val="20"/>
          <w:lang w:val="en-US"/>
        </w:rPr>
        <w:t xml:space="preserve"> </w:t>
      </w:r>
      <w:r w:rsidR="00E27085" w:rsidRPr="00857F1B">
        <w:rPr>
          <w:rFonts w:ascii="Arial" w:hAnsi="Arial" w:cs="Arial"/>
          <w:b/>
          <w:color w:val="000000" w:themeColor="text1"/>
          <w:sz w:val="20"/>
        </w:rPr>
        <w:t xml:space="preserve"> </w:t>
      </w:r>
    </w:p>
    <w:p w14:paraId="1DA94FC4" w14:textId="77777777" w:rsidR="007E06BB" w:rsidRDefault="007E06BB" w:rsidP="00D10A5D">
      <w:pPr>
        <w:tabs>
          <w:tab w:val="left" w:pos="142"/>
        </w:tabs>
        <w:jc w:val="both"/>
        <w:rPr>
          <w:rFonts w:ascii="Arial" w:hAnsi="Arial" w:cs="Arial"/>
          <w:b/>
          <w:color w:val="000000" w:themeColor="text1"/>
          <w:sz w:val="20"/>
        </w:rPr>
      </w:pPr>
    </w:p>
    <w:p w14:paraId="0365CC6D" w14:textId="77777777" w:rsidR="00EF3187" w:rsidRPr="005D6F46" w:rsidRDefault="00EF3187" w:rsidP="000A33AA">
      <w:pPr>
        <w:tabs>
          <w:tab w:val="left" w:pos="142"/>
          <w:tab w:val="left" w:pos="426"/>
        </w:tabs>
        <w:jc w:val="both"/>
        <w:rPr>
          <w:rFonts w:ascii="Arial" w:hAnsi="Arial" w:cs="Arial"/>
          <w:b/>
          <w:color w:val="000000" w:themeColor="text1"/>
          <w:sz w:val="20"/>
        </w:rPr>
      </w:pPr>
    </w:p>
    <w:p w14:paraId="73602A3E" w14:textId="7655966E" w:rsidR="00AE5435" w:rsidRPr="00857F1B" w:rsidRDefault="00857F1B" w:rsidP="00857F1B">
      <w:pPr>
        <w:tabs>
          <w:tab w:val="left" w:pos="426"/>
        </w:tabs>
        <w:ind w:left="426"/>
        <w:rPr>
          <w:rFonts w:ascii="Arial" w:hAnsi="Arial" w:cs="Arial"/>
          <w:color w:val="000000" w:themeColor="text1"/>
          <w:sz w:val="20"/>
        </w:rPr>
      </w:pPr>
      <w:r w:rsidRPr="00AF51DE">
        <w:rPr>
          <w:rFonts w:ascii="Arial" w:hAnsi="Arial" w:cs="Arial"/>
          <w:sz w:val="20"/>
          <w:lang w:val="en-US"/>
        </w:rPr>
        <w:t>The first quarter 2022, despite significant differences from the previous one, reaffirmed the good health conditions of the wood and furniture technology industry.</w:t>
      </w:r>
      <w:r w:rsidR="00AE5435" w:rsidRPr="00857F1B">
        <w:rPr>
          <w:rFonts w:ascii="Arial" w:hAnsi="Arial" w:cs="Arial"/>
          <w:color w:val="000000" w:themeColor="text1"/>
          <w:sz w:val="20"/>
        </w:rPr>
        <w:t xml:space="preserve"> </w:t>
      </w:r>
      <w:r w:rsidRPr="00AF51DE">
        <w:rPr>
          <w:rFonts w:ascii="Arial" w:hAnsi="Arial" w:cs="Arial"/>
          <w:sz w:val="20"/>
          <w:lang w:val="en-US"/>
        </w:rPr>
        <w:t xml:space="preserve">This is the evidence of the quarterly survey made by the Studies office of </w:t>
      </w:r>
      <w:r w:rsidRPr="00AF51DE">
        <w:rPr>
          <w:rFonts w:ascii="Arial" w:hAnsi="Arial" w:cs="Arial"/>
          <w:b/>
          <w:sz w:val="20"/>
          <w:lang w:val="en-US"/>
        </w:rPr>
        <w:t>Acimall</w:t>
      </w:r>
      <w:r w:rsidRPr="00AF51DE">
        <w:rPr>
          <w:rFonts w:ascii="Arial" w:hAnsi="Arial" w:cs="Arial"/>
          <w:sz w:val="20"/>
          <w:lang w:val="en-US"/>
        </w:rPr>
        <w:t xml:space="preserve"> - the Confindustria member association that gathers the Italian manufacturers of machines, tools and equipment - on a significant sample for the domestic production.</w:t>
      </w:r>
    </w:p>
    <w:p w14:paraId="4B4172A6" w14:textId="5202B221" w:rsidR="00AE5435" w:rsidRPr="00857F1B" w:rsidRDefault="00857F1B" w:rsidP="00857F1B">
      <w:pPr>
        <w:ind w:left="426"/>
        <w:rPr>
          <w:rFonts w:ascii="Arial" w:hAnsi="Arial" w:cs="Arial"/>
          <w:color w:val="000000" w:themeColor="text1"/>
          <w:sz w:val="20"/>
        </w:rPr>
      </w:pPr>
      <w:r w:rsidRPr="00AF51DE">
        <w:rPr>
          <w:rFonts w:ascii="Arial" w:hAnsi="Arial" w:cs="Arial"/>
          <w:sz w:val="20"/>
          <w:lang w:val="en-US"/>
        </w:rPr>
        <w:t xml:space="preserve">After closing </w:t>
      </w:r>
      <w:r w:rsidRPr="00AF51DE">
        <w:rPr>
          <w:rFonts w:ascii="Arial" w:hAnsi="Arial" w:cs="Arial"/>
          <w:b/>
          <w:sz w:val="20"/>
          <w:lang w:val="en-US"/>
        </w:rPr>
        <w:t>2021</w:t>
      </w:r>
      <w:r w:rsidRPr="00AF51DE">
        <w:rPr>
          <w:rFonts w:ascii="Arial" w:hAnsi="Arial" w:cs="Arial"/>
          <w:sz w:val="20"/>
          <w:lang w:val="en-US"/>
        </w:rPr>
        <w:t xml:space="preserve"> with really extraordinary production figures (up by 36.9 percent compared to </w:t>
      </w:r>
      <w:r w:rsidRPr="00AF51DE">
        <w:rPr>
          <w:rFonts w:ascii="Arial" w:hAnsi="Arial" w:cs="Arial"/>
          <w:b/>
          <w:sz w:val="20"/>
          <w:lang w:val="en-US"/>
        </w:rPr>
        <w:t>2020</w:t>
      </w:r>
      <w:r w:rsidRPr="00AF51DE">
        <w:rPr>
          <w:rFonts w:ascii="Arial" w:hAnsi="Arial" w:cs="Arial"/>
          <w:sz w:val="20"/>
          <w:lang w:val="en-US"/>
        </w:rPr>
        <w:t xml:space="preserve"> and 11.6 percent over </w:t>
      </w:r>
      <w:r w:rsidRPr="00AF51DE">
        <w:rPr>
          <w:rFonts w:ascii="Arial" w:hAnsi="Arial" w:cs="Arial"/>
          <w:b/>
          <w:sz w:val="20"/>
          <w:lang w:val="en-US"/>
        </w:rPr>
        <w:t>2019</w:t>
      </w:r>
      <w:r w:rsidRPr="00AF51DE">
        <w:rPr>
          <w:rFonts w:ascii="Arial" w:hAnsi="Arial" w:cs="Arial"/>
          <w:sz w:val="20"/>
          <w:lang w:val="en-US"/>
        </w:rPr>
        <w:t>), the year that has just started seems well on the way to keep a positive trend.</w:t>
      </w:r>
    </w:p>
    <w:p w14:paraId="28D83A53" w14:textId="77777777" w:rsidR="00B9389D" w:rsidRDefault="00B9389D" w:rsidP="00AE5435">
      <w:pPr>
        <w:ind w:left="426"/>
        <w:rPr>
          <w:rFonts w:ascii="Arial" w:hAnsi="Arial" w:cs="Arial"/>
          <w:color w:val="000000" w:themeColor="text1"/>
          <w:sz w:val="20"/>
        </w:rPr>
      </w:pPr>
    </w:p>
    <w:p w14:paraId="0A424AD6" w14:textId="3496F157" w:rsidR="00B9389D" w:rsidRPr="008578E9" w:rsidRDefault="00857F1B" w:rsidP="008578E9">
      <w:pPr>
        <w:ind w:left="426"/>
        <w:rPr>
          <w:rFonts w:ascii="Arial" w:hAnsi="Arial" w:cs="Arial"/>
          <w:color w:val="000000" w:themeColor="text1"/>
          <w:sz w:val="20"/>
        </w:rPr>
      </w:pPr>
      <w:r w:rsidRPr="00AF51DE">
        <w:rPr>
          <w:rFonts w:ascii="Arial" w:hAnsi="Arial" w:cs="Arial"/>
          <w:sz w:val="20"/>
          <w:lang w:val="en-US"/>
        </w:rPr>
        <w:t xml:space="preserve">In the January-March 2022 period, </w:t>
      </w:r>
      <w:r w:rsidRPr="00AF51DE">
        <w:rPr>
          <w:rFonts w:ascii="Arial" w:hAnsi="Arial" w:cs="Arial"/>
          <w:b/>
          <w:sz w:val="20"/>
          <w:lang w:val="en-US"/>
        </w:rPr>
        <w:t>orders</w:t>
      </w:r>
      <w:r w:rsidRPr="00AF51DE">
        <w:rPr>
          <w:rFonts w:ascii="Arial" w:hAnsi="Arial" w:cs="Arial"/>
          <w:sz w:val="20"/>
          <w:lang w:val="en-US"/>
        </w:rPr>
        <w:t xml:space="preserve"> increased by 21.7 percent </w:t>
      </w:r>
      <w:r w:rsidR="008578E9" w:rsidRPr="00AF51DE">
        <w:rPr>
          <w:rFonts w:ascii="Arial" w:hAnsi="Arial" w:cs="Arial"/>
          <w:sz w:val="20"/>
          <w:lang w:val="en-US"/>
        </w:rPr>
        <w:t>over the same quarter of 2021, as a result of 35.1 percent expansion on the</w:t>
      </w:r>
      <w:r w:rsidRPr="00AF51DE">
        <w:rPr>
          <w:rFonts w:ascii="Arial" w:hAnsi="Arial" w:cs="Arial"/>
          <w:sz w:val="20"/>
          <w:lang w:val="en-US"/>
        </w:rPr>
        <w:t xml:space="preserve"> </w:t>
      </w:r>
      <w:r w:rsidR="008578E9" w:rsidRPr="00AF51DE">
        <w:rPr>
          <w:rFonts w:ascii="Arial" w:hAnsi="Arial" w:cs="Arial"/>
          <w:b/>
          <w:sz w:val="20"/>
          <w:lang w:val="en-US"/>
        </w:rPr>
        <w:t>domestic market</w:t>
      </w:r>
      <w:r w:rsidRPr="00AF51DE">
        <w:rPr>
          <w:rFonts w:ascii="Arial" w:hAnsi="Arial" w:cs="Arial"/>
          <w:sz w:val="20"/>
          <w:lang w:val="en-US"/>
        </w:rPr>
        <w:t xml:space="preserve"> – </w:t>
      </w:r>
      <w:r w:rsidR="008578E9" w:rsidRPr="00AF51DE">
        <w:rPr>
          <w:rFonts w:ascii="Arial" w:hAnsi="Arial" w:cs="Arial"/>
          <w:sz w:val="20"/>
          <w:lang w:val="en-US"/>
        </w:rPr>
        <w:t>still showing high propensity to invest</w:t>
      </w:r>
      <w:r w:rsidRPr="00AF51DE">
        <w:rPr>
          <w:rFonts w:ascii="Arial" w:hAnsi="Arial" w:cs="Arial"/>
          <w:sz w:val="20"/>
          <w:lang w:val="en-US"/>
        </w:rPr>
        <w:t xml:space="preserve"> – </w:t>
      </w:r>
      <w:r w:rsidR="008578E9" w:rsidRPr="00AF51DE">
        <w:rPr>
          <w:rFonts w:ascii="Arial" w:hAnsi="Arial" w:cs="Arial"/>
          <w:sz w:val="20"/>
          <w:lang w:val="en-US"/>
        </w:rPr>
        <w:t>and a moderate</w:t>
      </w:r>
      <w:r w:rsidRPr="00AF51DE">
        <w:rPr>
          <w:rFonts w:ascii="Arial" w:hAnsi="Arial" w:cs="Arial"/>
          <w:sz w:val="20"/>
          <w:lang w:val="en-US"/>
        </w:rPr>
        <w:t xml:space="preserve"> 3</w:t>
      </w:r>
      <w:r w:rsidR="008578E9" w:rsidRPr="00AF51DE">
        <w:rPr>
          <w:rFonts w:ascii="Arial" w:hAnsi="Arial" w:cs="Arial"/>
          <w:sz w:val="20"/>
          <w:lang w:val="en-US"/>
        </w:rPr>
        <w:t>.</w:t>
      </w:r>
      <w:r w:rsidRPr="00AF51DE">
        <w:rPr>
          <w:rFonts w:ascii="Arial" w:hAnsi="Arial" w:cs="Arial"/>
          <w:sz w:val="20"/>
          <w:lang w:val="en-US"/>
        </w:rPr>
        <w:t>3 percent</w:t>
      </w:r>
      <w:r w:rsidR="008578E9" w:rsidRPr="00AF51DE">
        <w:rPr>
          <w:rFonts w:ascii="Arial" w:hAnsi="Arial" w:cs="Arial"/>
          <w:sz w:val="20"/>
          <w:lang w:val="en-US"/>
        </w:rPr>
        <w:t xml:space="preserve"> growth recorded by</w:t>
      </w:r>
      <w:r w:rsidRPr="00AF51DE">
        <w:rPr>
          <w:rFonts w:ascii="Arial" w:hAnsi="Arial" w:cs="Arial"/>
          <w:sz w:val="20"/>
          <w:lang w:val="en-US"/>
        </w:rPr>
        <w:t xml:space="preserve"> </w:t>
      </w:r>
      <w:r w:rsidRPr="00AF51DE">
        <w:rPr>
          <w:rFonts w:ascii="Arial" w:hAnsi="Arial" w:cs="Arial"/>
          <w:b/>
          <w:sz w:val="20"/>
          <w:lang w:val="en-US"/>
        </w:rPr>
        <w:t>e</w:t>
      </w:r>
      <w:r w:rsidR="008578E9" w:rsidRPr="00AF51DE">
        <w:rPr>
          <w:rFonts w:ascii="Arial" w:hAnsi="Arial" w:cs="Arial"/>
          <w:b/>
          <w:sz w:val="20"/>
          <w:lang w:val="en-US"/>
        </w:rPr>
        <w:t>x</w:t>
      </w:r>
      <w:r w:rsidRPr="00AF51DE">
        <w:rPr>
          <w:rFonts w:ascii="Arial" w:hAnsi="Arial" w:cs="Arial"/>
          <w:b/>
          <w:sz w:val="20"/>
          <w:lang w:val="en-US"/>
        </w:rPr>
        <w:t>port</w:t>
      </w:r>
      <w:r w:rsidRPr="00AF51DE">
        <w:rPr>
          <w:rFonts w:ascii="Arial" w:hAnsi="Arial" w:cs="Arial"/>
          <w:sz w:val="20"/>
          <w:lang w:val="en-US"/>
        </w:rPr>
        <w:t>.</w:t>
      </w:r>
    </w:p>
    <w:p w14:paraId="2C3DAE90" w14:textId="77777777" w:rsidR="003F7FC6" w:rsidRDefault="003F7FC6" w:rsidP="003F7FC6">
      <w:pPr>
        <w:ind w:left="426"/>
        <w:rPr>
          <w:rFonts w:ascii="Arial" w:hAnsi="Arial" w:cs="Arial"/>
          <w:color w:val="000000" w:themeColor="text1"/>
          <w:sz w:val="20"/>
        </w:rPr>
      </w:pPr>
    </w:p>
    <w:p w14:paraId="555E9457" w14:textId="400AFE0F" w:rsidR="003F7FC6" w:rsidRPr="008578E9" w:rsidRDefault="008578E9" w:rsidP="008578E9">
      <w:pPr>
        <w:ind w:left="426"/>
        <w:rPr>
          <w:rFonts w:ascii="Arial" w:hAnsi="Arial" w:cs="Arial"/>
          <w:color w:val="000000" w:themeColor="text1"/>
          <w:sz w:val="20"/>
        </w:rPr>
      </w:pPr>
      <w:r w:rsidRPr="00AF51DE">
        <w:rPr>
          <w:rFonts w:ascii="Arial" w:hAnsi="Arial" w:cs="Arial"/>
          <w:sz w:val="20"/>
          <w:lang w:val="en-US"/>
        </w:rPr>
        <w:t xml:space="preserve">The </w:t>
      </w:r>
      <w:r w:rsidRPr="00AF51DE">
        <w:rPr>
          <w:rFonts w:ascii="Arial" w:hAnsi="Arial" w:cs="Arial"/>
          <w:b/>
          <w:bCs/>
          <w:sz w:val="20"/>
          <w:lang w:val="en-US"/>
        </w:rPr>
        <w:t>orders book</w:t>
      </w:r>
      <w:r w:rsidRPr="00AF51DE">
        <w:rPr>
          <w:rFonts w:ascii="Arial" w:hAnsi="Arial" w:cs="Arial"/>
          <w:sz w:val="20"/>
          <w:lang w:val="en-US"/>
        </w:rPr>
        <w:t xml:space="preserve"> is stable at six months of secured production (6.1 months in the October-December 2021 period).</w:t>
      </w:r>
      <w:r w:rsidR="002E4AEA" w:rsidRPr="008578E9">
        <w:rPr>
          <w:rFonts w:ascii="Arial" w:hAnsi="Arial" w:cs="Arial"/>
          <w:color w:val="000000" w:themeColor="text1"/>
          <w:sz w:val="20"/>
        </w:rPr>
        <w:t xml:space="preserve"> </w:t>
      </w:r>
      <w:r w:rsidRPr="00AF51DE">
        <w:rPr>
          <w:rFonts w:ascii="Arial" w:hAnsi="Arial" w:cs="Arial"/>
          <w:sz w:val="20"/>
          <w:lang w:val="en-US"/>
        </w:rPr>
        <w:t xml:space="preserve">Unfortunately, we are seeing a strong rally of </w:t>
      </w:r>
      <w:r w:rsidRPr="00AF51DE">
        <w:rPr>
          <w:rFonts w:ascii="Arial" w:hAnsi="Arial" w:cs="Arial"/>
          <w:b/>
          <w:bCs/>
          <w:sz w:val="20"/>
          <w:lang w:val="en-US"/>
        </w:rPr>
        <w:t>prices</w:t>
      </w:r>
      <w:r w:rsidRPr="00AF51DE">
        <w:rPr>
          <w:rFonts w:ascii="Arial" w:hAnsi="Arial" w:cs="Arial"/>
          <w:sz w:val="20"/>
          <w:lang w:val="en-US"/>
        </w:rPr>
        <w:t>, up by 5.3 percent in the first quarter 2022, continuing the trend recorded throughout last year.</w:t>
      </w:r>
    </w:p>
    <w:p w14:paraId="286DB921" w14:textId="77777777" w:rsidR="00094668" w:rsidRDefault="00094668" w:rsidP="003F7FC6">
      <w:pPr>
        <w:ind w:left="426"/>
        <w:rPr>
          <w:rFonts w:ascii="Arial" w:hAnsi="Arial" w:cs="Arial"/>
          <w:color w:val="000000" w:themeColor="text1"/>
          <w:sz w:val="20"/>
        </w:rPr>
      </w:pPr>
    </w:p>
    <w:p w14:paraId="1463F391" w14:textId="454A746A" w:rsidR="00C521D8" w:rsidRPr="0017508E" w:rsidRDefault="008578E9" w:rsidP="0017508E">
      <w:pPr>
        <w:ind w:left="426"/>
        <w:rPr>
          <w:rFonts w:ascii="Arial" w:hAnsi="Arial" w:cs="Arial"/>
          <w:color w:val="000000" w:themeColor="text1"/>
          <w:sz w:val="20"/>
        </w:rPr>
      </w:pPr>
      <w:r w:rsidRPr="00AF51DE">
        <w:rPr>
          <w:rFonts w:ascii="Arial" w:hAnsi="Arial" w:cs="Arial"/>
          <w:i/>
          <w:sz w:val="20"/>
          <w:lang w:val="en-US"/>
        </w:rPr>
        <w:t>“We are paying a high fee for the difficult situation of purchasing and supply chains”,</w:t>
      </w:r>
      <w:r w:rsidRPr="00AF51DE">
        <w:rPr>
          <w:rFonts w:ascii="Arial" w:hAnsi="Arial" w:cs="Arial"/>
          <w:sz w:val="20"/>
          <w:lang w:val="en-US"/>
        </w:rPr>
        <w:t xml:space="preserve"> said </w:t>
      </w:r>
      <w:r w:rsidRPr="00AF51DE">
        <w:rPr>
          <w:rFonts w:ascii="Arial" w:hAnsi="Arial" w:cs="Arial"/>
          <w:b/>
          <w:sz w:val="20"/>
          <w:lang w:val="en-US"/>
        </w:rPr>
        <w:t>Luigi De Vito</w:t>
      </w:r>
      <w:r w:rsidRPr="00AF51DE">
        <w:rPr>
          <w:rFonts w:ascii="Arial" w:hAnsi="Arial" w:cs="Arial"/>
          <w:sz w:val="20"/>
          <w:lang w:val="en-US"/>
        </w:rPr>
        <w:t>, president of Acimall.</w:t>
      </w:r>
      <w:r w:rsidR="003F7FC6" w:rsidRPr="008578E9">
        <w:rPr>
          <w:rFonts w:ascii="Arial" w:hAnsi="Arial" w:cs="Arial"/>
          <w:color w:val="000000" w:themeColor="text1"/>
          <w:sz w:val="20"/>
        </w:rPr>
        <w:t xml:space="preserve"> </w:t>
      </w:r>
      <w:r w:rsidRPr="00AF51DE">
        <w:rPr>
          <w:rFonts w:ascii="Arial" w:hAnsi="Arial" w:cs="Arial"/>
          <w:i/>
          <w:sz w:val="20"/>
          <w:lang w:val="en-US"/>
        </w:rPr>
        <w:t>“The global economic and production system is facing a situation that has been worsened by the war in Eastern Europe</w:t>
      </w:r>
      <w:r w:rsidR="00C04F02" w:rsidRPr="00AF51DE">
        <w:rPr>
          <w:rFonts w:ascii="Arial" w:hAnsi="Arial" w:cs="Arial"/>
          <w:i/>
          <w:sz w:val="20"/>
          <w:lang w:val="en-US"/>
        </w:rPr>
        <w:t>, as well as the enduring uncertainty about possible pandemic developments in the second half of the year</w:t>
      </w:r>
      <w:r w:rsidRPr="00AF51DE">
        <w:rPr>
          <w:rFonts w:ascii="Arial" w:hAnsi="Arial" w:cs="Arial"/>
          <w:i/>
          <w:sz w:val="20"/>
          <w:lang w:val="en-US"/>
        </w:rPr>
        <w:t>”.</w:t>
      </w:r>
      <w:r w:rsidR="006E2477" w:rsidRPr="00C04F02">
        <w:rPr>
          <w:rFonts w:ascii="Arial" w:hAnsi="Arial" w:cs="Arial"/>
          <w:i/>
          <w:color w:val="000000" w:themeColor="text1"/>
          <w:sz w:val="20"/>
        </w:rPr>
        <w:t xml:space="preserve"> </w:t>
      </w:r>
      <w:r w:rsidR="00C04F02" w:rsidRPr="00AF51DE">
        <w:rPr>
          <w:rFonts w:ascii="Arial" w:hAnsi="Arial" w:cs="Arial"/>
          <w:i/>
          <w:sz w:val="20"/>
          <w:lang w:val="en-US"/>
        </w:rPr>
        <w:t xml:space="preserve">“Right now, it is still hard to say when we will go back to normal </w:t>
      </w:r>
      <w:r w:rsidR="00C04F02" w:rsidRPr="00AF51DE">
        <w:rPr>
          <w:rFonts w:ascii="Arial" w:hAnsi="Arial" w:cs="Arial"/>
          <w:sz w:val="20"/>
          <w:lang w:val="en-US"/>
        </w:rPr>
        <w:t xml:space="preserve">– De Vito concluded – </w:t>
      </w:r>
      <w:r w:rsidR="00C04F02" w:rsidRPr="00AF51DE">
        <w:rPr>
          <w:rFonts w:ascii="Arial" w:hAnsi="Arial" w:cs="Arial"/>
          <w:i/>
          <w:sz w:val="20"/>
          <w:lang w:val="en-US"/>
        </w:rPr>
        <w:t xml:space="preserve">and once again, our entrepreneurs will have to hold the </w:t>
      </w:r>
      <w:r w:rsidR="000502EB" w:rsidRPr="00AF51DE">
        <w:rPr>
          <w:rFonts w:ascii="Arial" w:hAnsi="Arial" w:cs="Arial"/>
          <w:i/>
          <w:sz w:val="20"/>
          <w:lang w:val="en-US"/>
        </w:rPr>
        <w:t>rudder firmly</w:t>
      </w:r>
      <w:r w:rsidR="00C04F02" w:rsidRPr="00AF51DE">
        <w:rPr>
          <w:rFonts w:ascii="Arial" w:hAnsi="Arial" w:cs="Arial"/>
          <w:i/>
          <w:sz w:val="20"/>
          <w:lang w:val="en-US"/>
        </w:rPr>
        <w:t xml:space="preserve">, trying </w:t>
      </w:r>
      <w:r w:rsidR="000502EB" w:rsidRPr="00AF51DE">
        <w:rPr>
          <w:rFonts w:ascii="Arial" w:hAnsi="Arial" w:cs="Arial"/>
          <w:i/>
          <w:sz w:val="20"/>
          <w:lang w:val="en-US"/>
        </w:rPr>
        <w:t xml:space="preserve">to navigate their companies in a situation where any prediction and decision </w:t>
      </w:r>
      <w:r w:rsidR="0017508E" w:rsidRPr="00AF51DE">
        <w:rPr>
          <w:rFonts w:ascii="Arial" w:hAnsi="Arial" w:cs="Arial"/>
          <w:i/>
          <w:sz w:val="20"/>
          <w:lang w:val="en-US"/>
        </w:rPr>
        <w:t>appears to be difficult</w:t>
      </w:r>
      <w:r w:rsidR="00C04F02" w:rsidRPr="00AF51DE">
        <w:rPr>
          <w:rFonts w:ascii="Arial" w:hAnsi="Arial" w:cs="Arial"/>
          <w:i/>
          <w:sz w:val="20"/>
          <w:lang w:val="en-US"/>
        </w:rPr>
        <w:t>”.</w:t>
      </w:r>
    </w:p>
    <w:p w14:paraId="5983CD94" w14:textId="77777777" w:rsidR="003F7FC6" w:rsidRDefault="003F7FC6" w:rsidP="003F7FC6">
      <w:pPr>
        <w:ind w:left="426"/>
        <w:rPr>
          <w:rFonts w:ascii="Arial" w:hAnsi="Arial" w:cs="Arial"/>
          <w:color w:val="000000" w:themeColor="text1"/>
          <w:sz w:val="20"/>
        </w:rPr>
      </w:pPr>
    </w:p>
    <w:p w14:paraId="307280AE" w14:textId="3738F168" w:rsidR="00B0713B" w:rsidRPr="00EB5028" w:rsidRDefault="0017508E" w:rsidP="00EB5028">
      <w:pPr>
        <w:ind w:left="426"/>
        <w:rPr>
          <w:rFonts w:ascii="Arial" w:hAnsi="Arial" w:cs="Arial"/>
          <w:color w:val="000000" w:themeColor="text1"/>
          <w:sz w:val="20"/>
        </w:rPr>
      </w:pPr>
      <w:r w:rsidRPr="00AF51DE">
        <w:rPr>
          <w:rFonts w:ascii="Arial" w:hAnsi="Arial" w:cs="Arial"/>
          <w:sz w:val="20"/>
          <w:lang w:val="en-US"/>
        </w:rPr>
        <w:t xml:space="preserve">The opinions collected by the </w:t>
      </w:r>
      <w:r w:rsidRPr="00AF51DE">
        <w:rPr>
          <w:rFonts w:ascii="Arial" w:hAnsi="Arial" w:cs="Arial"/>
          <w:b/>
          <w:sz w:val="20"/>
          <w:lang w:val="en-US"/>
        </w:rPr>
        <w:t xml:space="preserve">quality survey </w:t>
      </w:r>
      <w:r w:rsidRPr="00AF51DE">
        <w:rPr>
          <w:rFonts w:ascii="Arial" w:hAnsi="Arial" w:cs="Arial"/>
          <w:sz w:val="20"/>
          <w:lang w:val="en-US"/>
        </w:rPr>
        <w:t>are basically stable.</w:t>
      </w:r>
      <w:r w:rsidR="00094668" w:rsidRPr="0017508E">
        <w:rPr>
          <w:rFonts w:ascii="Arial" w:hAnsi="Arial" w:cs="Arial"/>
          <w:color w:val="000000" w:themeColor="text1"/>
          <w:sz w:val="20"/>
        </w:rPr>
        <w:t xml:space="preserve"> </w:t>
      </w:r>
      <w:r w:rsidRPr="00AF51DE">
        <w:rPr>
          <w:rFonts w:ascii="Arial" w:hAnsi="Arial" w:cs="Arial"/>
          <w:sz w:val="20"/>
          <w:lang w:val="en-US"/>
        </w:rPr>
        <w:t>48 percent of the sample expects the positive trend of production to continue (versus 57 percent in the previous quarter); 52 percent expect substantial stability (43 percent in October-December 2021).</w:t>
      </w:r>
      <w:r w:rsidR="00094668" w:rsidRPr="0017508E">
        <w:rPr>
          <w:rFonts w:ascii="Arial" w:hAnsi="Arial" w:cs="Arial"/>
          <w:color w:val="000000" w:themeColor="text1"/>
          <w:sz w:val="20"/>
        </w:rPr>
        <w:t xml:space="preserve"> </w:t>
      </w:r>
      <w:r w:rsidRPr="00AF51DE">
        <w:rPr>
          <w:rFonts w:ascii="Arial" w:hAnsi="Arial" w:cs="Arial"/>
          <w:b/>
          <w:sz w:val="20"/>
          <w:lang w:val="en-US"/>
        </w:rPr>
        <w:t>Employment</w:t>
      </w:r>
      <w:r w:rsidRPr="00AF51DE">
        <w:rPr>
          <w:rFonts w:ascii="Arial" w:hAnsi="Arial" w:cs="Arial"/>
          <w:sz w:val="20"/>
          <w:lang w:val="en-US"/>
        </w:rPr>
        <w:t xml:space="preserve"> is on the rise according to 38 percent of the sample (versus 57 percent in the previous quarter), stable according to 62 percent (</w:t>
      </w:r>
      <w:r w:rsidR="00EB5028" w:rsidRPr="00AF51DE">
        <w:rPr>
          <w:rFonts w:ascii="Arial" w:hAnsi="Arial" w:cs="Arial"/>
          <w:sz w:val="20"/>
          <w:lang w:val="en-US"/>
        </w:rPr>
        <w:t>43 percent in October-December 2021</w:t>
      </w:r>
      <w:r w:rsidRPr="00AF51DE">
        <w:rPr>
          <w:rFonts w:ascii="Arial" w:hAnsi="Arial" w:cs="Arial"/>
          <w:sz w:val="20"/>
          <w:lang w:val="en-US"/>
        </w:rPr>
        <w:t xml:space="preserve">). </w:t>
      </w:r>
      <w:r w:rsidR="00EB5028" w:rsidRPr="00AF51DE">
        <w:rPr>
          <w:rFonts w:ascii="Arial" w:hAnsi="Arial" w:cs="Arial"/>
          <w:b/>
          <w:sz w:val="20"/>
          <w:lang w:val="en-US"/>
        </w:rPr>
        <w:t>Stocks</w:t>
      </w:r>
      <w:r w:rsidRPr="00AF51DE">
        <w:rPr>
          <w:rFonts w:ascii="Arial" w:hAnsi="Arial" w:cs="Arial"/>
          <w:sz w:val="20"/>
          <w:lang w:val="en-US"/>
        </w:rPr>
        <w:t xml:space="preserve"> </w:t>
      </w:r>
      <w:r w:rsidR="00EB5028" w:rsidRPr="00AF51DE">
        <w:rPr>
          <w:rFonts w:ascii="Arial" w:hAnsi="Arial" w:cs="Arial"/>
          <w:sz w:val="20"/>
          <w:lang w:val="en-US"/>
        </w:rPr>
        <w:t>are stable according to</w:t>
      </w:r>
      <w:r w:rsidRPr="00AF51DE">
        <w:rPr>
          <w:rFonts w:ascii="Arial" w:hAnsi="Arial" w:cs="Arial"/>
          <w:sz w:val="20"/>
          <w:lang w:val="en-US"/>
        </w:rPr>
        <w:t xml:space="preserve"> 33 </w:t>
      </w:r>
      <w:r w:rsidR="00EB5028" w:rsidRPr="00AF51DE">
        <w:rPr>
          <w:rFonts w:ascii="Arial" w:hAnsi="Arial" w:cs="Arial"/>
          <w:sz w:val="20"/>
          <w:lang w:val="en-US"/>
        </w:rPr>
        <w:t>percent of the interviewees</w:t>
      </w:r>
      <w:r w:rsidRPr="00AF51DE">
        <w:rPr>
          <w:rFonts w:ascii="Arial" w:hAnsi="Arial" w:cs="Arial"/>
          <w:sz w:val="20"/>
          <w:lang w:val="en-US"/>
        </w:rPr>
        <w:t xml:space="preserve">, </w:t>
      </w:r>
      <w:r w:rsidR="00EB5028" w:rsidRPr="00AF51DE">
        <w:rPr>
          <w:rFonts w:ascii="Arial" w:hAnsi="Arial" w:cs="Arial"/>
          <w:sz w:val="20"/>
          <w:lang w:val="en-US"/>
        </w:rPr>
        <w:t>increasing for</w:t>
      </w:r>
      <w:r w:rsidRPr="00AF51DE">
        <w:rPr>
          <w:rFonts w:ascii="Arial" w:hAnsi="Arial" w:cs="Arial"/>
          <w:sz w:val="20"/>
          <w:lang w:val="en-US"/>
        </w:rPr>
        <w:t xml:space="preserve"> 48 percent, </w:t>
      </w:r>
      <w:r w:rsidR="00EB5028" w:rsidRPr="00AF51DE">
        <w:rPr>
          <w:rFonts w:ascii="Arial" w:hAnsi="Arial" w:cs="Arial"/>
          <w:sz w:val="20"/>
          <w:lang w:val="en-US"/>
        </w:rPr>
        <w:t>decreasing for</w:t>
      </w:r>
      <w:r w:rsidRPr="00AF51DE">
        <w:rPr>
          <w:rFonts w:ascii="Arial" w:hAnsi="Arial" w:cs="Arial"/>
          <w:sz w:val="20"/>
          <w:lang w:val="en-US"/>
        </w:rPr>
        <w:t xml:space="preserve"> 19 percent.</w:t>
      </w:r>
    </w:p>
    <w:p w14:paraId="33BF6BDA" w14:textId="77777777" w:rsidR="001F0D52" w:rsidRPr="002E4AEA" w:rsidRDefault="001F0D52" w:rsidP="00B0713B">
      <w:pPr>
        <w:widowControl w:val="0"/>
        <w:tabs>
          <w:tab w:val="left" w:pos="426"/>
        </w:tabs>
        <w:autoSpaceDE w:val="0"/>
        <w:autoSpaceDN w:val="0"/>
        <w:adjustRightInd w:val="0"/>
        <w:ind w:left="426"/>
        <w:rPr>
          <w:rFonts w:ascii="Arial" w:hAnsi="Arial" w:cs="Arial"/>
          <w:color w:val="000000"/>
          <w:sz w:val="20"/>
        </w:rPr>
      </w:pPr>
    </w:p>
    <w:p w14:paraId="51995F77" w14:textId="69105A0C" w:rsidR="004E64E2" w:rsidRPr="002C0A71" w:rsidRDefault="00EB5028" w:rsidP="00EB5028">
      <w:pPr>
        <w:widowControl w:val="0"/>
        <w:tabs>
          <w:tab w:val="left" w:pos="426"/>
        </w:tabs>
        <w:autoSpaceDE w:val="0"/>
        <w:autoSpaceDN w:val="0"/>
        <w:adjustRightInd w:val="0"/>
        <w:ind w:left="426"/>
        <w:rPr>
          <w:rFonts w:ascii="Arial" w:hAnsi="Arial" w:cs="Arial"/>
          <w:color w:val="000000"/>
          <w:sz w:val="20"/>
        </w:rPr>
      </w:pPr>
      <w:r w:rsidRPr="00AF51DE">
        <w:rPr>
          <w:rFonts w:ascii="Arial" w:hAnsi="Arial" w:cs="Arial"/>
          <w:sz w:val="20"/>
          <w:lang w:val="en-US"/>
        </w:rPr>
        <w:t xml:space="preserve">Compared to the past, less optimism is emerging from the </w:t>
      </w:r>
      <w:r w:rsidRPr="00AF51DE">
        <w:rPr>
          <w:rFonts w:ascii="Arial" w:hAnsi="Arial" w:cs="Arial"/>
          <w:b/>
          <w:sz w:val="20"/>
          <w:lang w:val="en-US"/>
        </w:rPr>
        <w:t>forecast survey</w:t>
      </w:r>
      <w:r w:rsidRPr="00AF51DE">
        <w:rPr>
          <w:rFonts w:ascii="Arial" w:hAnsi="Arial" w:cs="Arial"/>
          <w:bCs/>
          <w:sz w:val="20"/>
          <w:lang w:val="en-US"/>
        </w:rPr>
        <w:t>:</w:t>
      </w:r>
      <w:r w:rsidRPr="00AF51DE">
        <w:rPr>
          <w:rFonts w:ascii="Arial" w:hAnsi="Arial" w:cs="Arial"/>
          <w:sz w:val="20"/>
          <w:lang w:val="en-US"/>
        </w:rPr>
        <w:t xml:space="preserve"> on </w:t>
      </w:r>
      <w:r w:rsidRPr="00AF51DE">
        <w:rPr>
          <w:rFonts w:ascii="Arial" w:hAnsi="Arial" w:cs="Arial"/>
          <w:b/>
          <w:sz w:val="20"/>
          <w:lang w:val="en-US"/>
        </w:rPr>
        <w:t>foreign markets</w:t>
      </w:r>
      <w:r w:rsidRPr="00AF51DE">
        <w:rPr>
          <w:rFonts w:ascii="Arial" w:hAnsi="Arial" w:cs="Arial"/>
          <w:bCs/>
          <w:sz w:val="20"/>
          <w:lang w:val="en-US"/>
        </w:rPr>
        <w:t xml:space="preserve">, </w:t>
      </w:r>
      <w:r w:rsidRPr="00AF51DE">
        <w:rPr>
          <w:rFonts w:ascii="Arial" w:hAnsi="Arial" w:cs="Arial"/>
          <w:sz w:val="20"/>
          <w:lang w:val="en-US"/>
        </w:rPr>
        <w:t>48 percent of the sample expects a period of stability (versus 76 percent in the previous quarter), 33 percent see further expansion (versus 24 percent), while 19 percent fear shrinkage.</w:t>
      </w:r>
      <w:r w:rsidR="002C0A71" w:rsidRPr="00EB5028">
        <w:rPr>
          <w:rFonts w:ascii="Arial" w:hAnsi="Arial" w:cs="Arial"/>
          <w:color w:val="000000"/>
          <w:sz w:val="20"/>
        </w:rPr>
        <w:t xml:space="preserve"> </w:t>
      </w:r>
      <w:r w:rsidRPr="00AF51DE">
        <w:rPr>
          <w:rFonts w:ascii="Arial" w:hAnsi="Arial" w:cs="Arial"/>
          <w:sz w:val="20"/>
          <w:lang w:val="en-US"/>
        </w:rPr>
        <w:t xml:space="preserve">The </w:t>
      </w:r>
      <w:r w:rsidRPr="00AF51DE">
        <w:rPr>
          <w:rFonts w:ascii="Arial" w:hAnsi="Arial" w:cs="Arial"/>
          <w:b/>
          <w:bCs/>
          <w:sz w:val="20"/>
          <w:lang w:val="en-US"/>
        </w:rPr>
        <w:t>domestic market</w:t>
      </w:r>
      <w:r w:rsidRPr="00AF51DE">
        <w:rPr>
          <w:rFonts w:ascii="Arial" w:hAnsi="Arial" w:cs="Arial"/>
          <w:sz w:val="20"/>
          <w:lang w:val="en-US"/>
        </w:rPr>
        <w:t xml:space="preserve"> will remain at the current level according to 43 percent of the interviewees (versus 66 percent in the previous survey), it will keep growing according to 33 percent (29 percent in the final quarter 2021), and it will decrease according to 24 percent (5 percent in October-December 2021).</w:t>
      </w:r>
      <w:r w:rsidR="000A33AA" w:rsidRPr="00EB5028">
        <w:rPr>
          <w:rFonts w:ascii="Arial" w:hAnsi="Arial" w:cs="Arial"/>
          <w:color w:val="000000"/>
          <w:sz w:val="20"/>
        </w:rPr>
        <w:t xml:space="preserve"> </w:t>
      </w:r>
    </w:p>
    <w:p w14:paraId="03F026D6" w14:textId="77777777" w:rsidR="00C91D54" w:rsidRPr="000A33AA" w:rsidRDefault="00C91D54" w:rsidP="000A33AA">
      <w:pPr>
        <w:widowControl w:val="0"/>
        <w:tabs>
          <w:tab w:val="left" w:pos="426"/>
        </w:tabs>
        <w:autoSpaceDE w:val="0"/>
        <w:autoSpaceDN w:val="0"/>
        <w:adjustRightInd w:val="0"/>
        <w:rPr>
          <w:rFonts w:ascii="Arial" w:hAnsi="Arial" w:cs="Arial"/>
          <w:color w:val="000000"/>
          <w:sz w:val="20"/>
        </w:rPr>
      </w:pPr>
    </w:p>
    <w:p w14:paraId="2F0E819C" w14:textId="77777777" w:rsidR="001670C8" w:rsidRPr="00E65415" w:rsidRDefault="001670C8" w:rsidP="00C91D54">
      <w:pPr>
        <w:ind w:left="426"/>
        <w:rPr>
          <w:rFonts w:ascii="Arial" w:hAnsi="Arial" w:cs="Arial"/>
          <w:color w:val="000000" w:themeColor="text1"/>
          <w:sz w:val="20"/>
        </w:rPr>
      </w:pPr>
    </w:p>
    <w:p w14:paraId="5A8F1B68" w14:textId="60F0C2EF" w:rsidR="00840088" w:rsidRPr="00EB5028" w:rsidRDefault="00EB5028" w:rsidP="00EB5028">
      <w:pPr>
        <w:tabs>
          <w:tab w:val="left" w:pos="2977"/>
          <w:tab w:val="left" w:pos="5670"/>
          <w:tab w:val="left" w:pos="6663"/>
        </w:tabs>
        <w:ind w:left="426"/>
        <w:jc w:val="both"/>
        <w:rPr>
          <w:rFonts w:ascii="Arial" w:hAnsi="Arial"/>
          <w:i/>
          <w:color w:val="000000" w:themeColor="text1"/>
          <w:sz w:val="20"/>
        </w:rPr>
      </w:pPr>
      <w:r w:rsidRPr="00AF51DE">
        <w:rPr>
          <w:rFonts w:ascii="Arial" w:hAnsi="Arial"/>
          <w:i/>
          <w:sz w:val="20"/>
          <w:lang w:val="en-US"/>
        </w:rPr>
        <w:t>For more information:</w:t>
      </w:r>
    </w:p>
    <w:p w14:paraId="3F1B478A" w14:textId="77777777" w:rsidR="00840088" w:rsidRPr="00E65415" w:rsidRDefault="00840088" w:rsidP="00840088">
      <w:pPr>
        <w:tabs>
          <w:tab w:val="left" w:pos="567"/>
        </w:tabs>
        <w:ind w:left="426"/>
        <w:jc w:val="both"/>
        <w:outlineLvl w:val="0"/>
        <w:rPr>
          <w:rFonts w:ascii="Arial" w:hAnsi="Arial"/>
          <w:b/>
          <w:color w:val="000000" w:themeColor="text1"/>
          <w:sz w:val="20"/>
        </w:rPr>
      </w:pPr>
      <w:r w:rsidRPr="00E65415">
        <w:rPr>
          <w:rFonts w:ascii="Arial" w:hAnsi="Arial"/>
          <w:b/>
          <w:color w:val="000000" w:themeColor="text1"/>
          <w:sz w:val="20"/>
        </w:rPr>
        <w:t>Luca Rossetti</w:t>
      </w:r>
    </w:p>
    <w:p w14:paraId="14943C0C" w14:textId="77777777" w:rsidR="00AF50EF" w:rsidRPr="00B33B48" w:rsidRDefault="00840088" w:rsidP="00B33B48">
      <w:pPr>
        <w:tabs>
          <w:tab w:val="left" w:pos="560"/>
        </w:tabs>
        <w:ind w:left="426"/>
        <w:jc w:val="both"/>
        <w:outlineLvl w:val="0"/>
        <w:rPr>
          <w:rFonts w:ascii="Arial" w:hAnsi="Arial" w:cs="Arial"/>
          <w:color w:val="000000" w:themeColor="text1"/>
          <w:sz w:val="20"/>
        </w:rPr>
      </w:pPr>
      <w:r w:rsidRPr="00E65415">
        <w:rPr>
          <w:rFonts w:ascii="Arial" w:hAnsi="Arial"/>
          <w:color w:val="000000" w:themeColor="text1"/>
          <w:sz w:val="20"/>
        </w:rPr>
        <w:t>+39 3</w:t>
      </w:r>
      <w:r w:rsidR="0068221D">
        <w:rPr>
          <w:rFonts w:ascii="Arial" w:hAnsi="Arial"/>
          <w:color w:val="000000" w:themeColor="text1"/>
          <w:sz w:val="20"/>
        </w:rPr>
        <w:t>51</w:t>
      </w:r>
      <w:r w:rsidRPr="00E65415">
        <w:rPr>
          <w:rFonts w:ascii="Arial" w:hAnsi="Arial"/>
          <w:color w:val="000000" w:themeColor="text1"/>
          <w:sz w:val="20"/>
        </w:rPr>
        <w:t xml:space="preserve"> </w:t>
      </w:r>
      <w:r w:rsidR="0068221D">
        <w:rPr>
          <w:rFonts w:ascii="Arial" w:hAnsi="Arial"/>
          <w:color w:val="000000" w:themeColor="text1"/>
          <w:sz w:val="20"/>
        </w:rPr>
        <w:t>9098189</w:t>
      </w:r>
      <w:r w:rsidRPr="00E65415">
        <w:rPr>
          <w:rFonts w:ascii="Arial" w:hAnsi="Arial"/>
          <w:color w:val="000000" w:themeColor="text1"/>
          <w:sz w:val="20"/>
        </w:rPr>
        <w:t xml:space="preserve"> - </w:t>
      </w:r>
      <w:hyperlink r:id="rId8" w:history="1">
        <w:r w:rsidRPr="00814730">
          <w:rPr>
            <w:rStyle w:val="Collegamentoipertestuale"/>
            <w:rFonts w:ascii="Arial" w:hAnsi="Arial"/>
            <w:color w:val="000000" w:themeColor="text1"/>
            <w:sz w:val="20"/>
            <w:u w:val="none"/>
          </w:rPr>
          <w:t>press@acimall.com</w:t>
        </w:r>
      </w:hyperlink>
    </w:p>
    <w:sectPr w:rsidR="00AF50EF" w:rsidRPr="00B33B48" w:rsidSect="00104F31">
      <w:headerReference w:type="default" r:id="rId9"/>
      <w:footerReference w:type="even" r:id="rId10"/>
      <w:footerReference w:type="default" r:id="rId11"/>
      <w:headerReference w:type="first" r:id="rId12"/>
      <w:footerReference w:type="first" r:id="rId13"/>
      <w:pgSz w:w="11906" w:h="16838" w:code="9"/>
      <w:pgMar w:top="1276" w:right="991" w:bottom="38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B779" w14:textId="77777777" w:rsidR="00141976" w:rsidRDefault="00141976">
      <w:r>
        <w:separator/>
      </w:r>
    </w:p>
  </w:endnote>
  <w:endnote w:type="continuationSeparator" w:id="0">
    <w:p w14:paraId="43DD4964" w14:textId="77777777" w:rsidR="00141976" w:rsidRDefault="001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9714" w14:textId="77777777" w:rsidR="00C521D8" w:rsidRDefault="00C521D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11C0D7" w14:textId="77777777" w:rsidR="00C521D8" w:rsidRDefault="00C521D8">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166F" w14:textId="77777777" w:rsidR="00C521D8" w:rsidRDefault="00C521D8">
    <w:pPr>
      <w:pStyle w:val="Pidipagina"/>
      <w:framePr w:wrap="around" w:vAnchor="text" w:hAnchor="page" w:x="5488" w:y="524"/>
      <w:jc w:val="center"/>
      <w:rPr>
        <w:rStyle w:val="Numeropagina"/>
      </w:rPr>
    </w:pPr>
  </w:p>
  <w:p w14:paraId="6772646F" w14:textId="77777777" w:rsidR="00C521D8" w:rsidRDefault="00C521D8">
    <w:pPr>
      <w:pStyle w:val="Pidipagina"/>
      <w:ind w:right="360"/>
    </w:pPr>
    <w:r>
      <w:t xml:space="preserve">   </w:t>
    </w:r>
  </w:p>
  <w:p w14:paraId="2A83D470" w14:textId="77777777" w:rsidR="00C521D8" w:rsidRDefault="00C521D8">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1B05" w14:textId="77777777" w:rsidR="00C521D8" w:rsidRDefault="00C521D8">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698E" w14:textId="77777777" w:rsidR="00141976" w:rsidRDefault="00141976">
      <w:r>
        <w:separator/>
      </w:r>
    </w:p>
  </w:footnote>
  <w:footnote w:type="continuationSeparator" w:id="0">
    <w:p w14:paraId="71454526" w14:textId="77777777" w:rsidR="00141976" w:rsidRDefault="0014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F4D5" w14:textId="77777777" w:rsidR="00C521D8" w:rsidRDefault="00C521D8">
    <w:pPr>
      <w:pStyle w:val="Intestazione"/>
      <w:ind w:left="360"/>
    </w:pPr>
  </w:p>
  <w:p w14:paraId="3BE8846B" w14:textId="77777777" w:rsidR="00C521D8" w:rsidRDefault="00C521D8">
    <w:pPr>
      <w:pStyle w:val="Intestazione"/>
      <w:ind w:left="360"/>
    </w:pPr>
  </w:p>
  <w:p w14:paraId="622CCC38" w14:textId="77777777" w:rsidR="00C521D8" w:rsidRDefault="00C521D8">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39E" w14:textId="77777777" w:rsidR="00C521D8" w:rsidRDefault="00C521D8">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189534278">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789594626">
    <w:abstractNumId w:val="2"/>
  </w:num>
  <w:num w:numId="3" w16cid:durableId="1492254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42BE5"/>
    <w:rsid w:val="000502EB"/>
    <w:rsid w:val="00087FD9"/>
    <w:rsid w:val="00094668"/>
    <w:rsid w:val="00095C56"/>
    <w:rsid w:val="000A33AA"/>
    <w:rsid w:val="000B731F"/>
    <w:rsid w:val="000C05B7"/>
    <w:rsid w:val="000C2E18"/>
    <w:rsid w:val="000C4AD3"/>
    <w:rsid w:val="000C5C5F"/>
    <w:rsid w:val="000E417A"/>
    <w:rsid w:val="000E4BEE"/>
    <w:rsid w:val="000E661F"/>
    <w:rsid w:val="000E7459"/>
    <w:rsid w:val="000F4C0F"/>
    <w:rsid w:val="001046E2"/>
    <w:rsid w:val="00104F31"/>
    <w:rsid w:val="001258BE"/>
    <w:rsid w:val="00130D7E"/>
    <w:rsid w:val="00140D22"/>
    <w:rsid w:val="00141976"/>
    <w:rsid w:val="00142024"/>
    <w:rsid w:val="001670C8"/>
    <w:rsid w:val="001702AD"/>
    <w:rsid w:val="0017075B"/>
    <w:rsid w:val="001726D5"/>
    <w:rsid w:val="00174464"/>
    <w:rsid w:val="0017508E"/>
    <w:rsid w:val="0018053C"/>
    <w:rsid w:val="001812CA"/>
    <w:rsid w:val="00181DE3"/>
    <w:rsid w:val="001956B8"/>
    <w:rsid w:val="001A615F"/>
    <w:rsid w:val="001B28A8"/>
    <w:rsid w:val="001B415A"/>
    <w:rsid w:val="001B424B"/>
    <w:rsid w:val="001B57D7"/>
    <w:rsid w:val="001C421C"/>
    <w:rsid w:val="001D79A8"/>
    <w:rsid w:val="001E067F"/>
    <w:rsid w:val="001E6154"/>
    <w:rsid w:val="001E72A3"/>
    <w:rsid w:val="001F0D52"/>
    <w:rsid w:val="001F51B2"/>
    <w:rsid w:val="002042B0"/>
    <w:rsid w:val="00207FBA"/>
    <w:rsid w:val="00210CF8"/>
    <w:rsid w:val="002178A4"/>
    <w:rsid w:val="00224AB3"/>
    <w:rsid w:val="00232B02"/>
    <w:rsid w:val="002545BF"/>
    <w:rsid w:val="002632E5"/>
    <w:rsid w:val="002650C8"/>
    <w:rsid w:val="00272082"/>
    <w:rsid w:val="00277B4A"/>
    <w:rsid w:val="00286B70"/>
    <w:rsid w:val="00291DE3"/>
    <w:rsid w:val="00294EDD"/>
    <w:rsid w:val="002A1F20"/>
    <w:rsid w:val="002A753A"/>
    <w:rsid w:val="002C0A71"/>
    <w:rsid w:val="002E4AEA"/>
    <w:rsid w:val="002F11D9"/>
    <w:rsid w:val="002F2037"/>
    <w:rsid w:val="002F5769"/>
    <w:rsid w:val="00304533"/>
    <w:rsid w:val="00305B4C"/>
    <w:rsid w:val="00307139"/>
    <w:rsid w:val="00307BED"/>
    <w:rsid w:val="00313979"/>
    <w:rsid w:val="00326C06"/>
    <w:rsid w:val="00337870"/>
    <w:rsid w:val="0034316E"/>
    <w:rsid w:val="00345D05"/>
    <w:rsid w:val="00365C65"/>
    <w:rsid w:val="00366693"/>
    <w:rsid w:val="00366E20"/>
    <w:rsid w:val="00381921"/>
    <w:rsid w:val="003838AD"/>
    <w:rsid w:val="003A73F0"/>
    <w:rsid w:val="003B059D"/>
    <w:rsid w:val="003B109F"/>
    <w:rsid w:val="003C234E"/>
    <w:rsid w:val="003D3CCC"/>
    <w:rsid w:val="003D5336"/>
    <w:rsid w:val="003F1E14"/>
    <w:rsid w:val="003F371B"/>
    <w:rsid w:val="003F7FC6"/>
    <w:rsid w:val="0040219C"/>
    <w:rsid w:val="0040679A"/>
    <w:rsid w:val="00406AB7"/>
    <w:rsid w:val="00416C21"/>
    <w:rsid w:val="00434C7E"/>
    <w:rsid w:val="00440FDD"/>
    <w:rsid w:val="00444FEE"/>
    <w:rsid w:val="004525E1"/>
    <w:rsid w:val="004559D3"/>
    <w:rsid w:val="00463561"/>
    <w:rsid w:val="00471328"/>
    <w:rsid w:val="004720FA"/>
    <w:rsid w:val="004B203B"/>
    <w:rsid w:val="004B3B06"/>
    <w:rsid w:val="004E619F"/>
    <w:rsid w:val="004E64E2"/>
    <w:rsid w:val="004F1C0F"/>
    <w:rsid w:val="00524EB0"/>
    <w:rsid w:val="00532AB7"/>
    <w:rsid w:val="00536329"/>
    <w:rsid w:val="00544E4C"/>
    <w:rsid w:val="00553F39"/>
    <w:rsid w:val="00556E60"/>
    <w:rsid w:val="00566630"/>
    <w:rsid w:val="00583DA9"/>
    <w:rsid w:val="00585084"/>
    <w:rsid w:val="005A2C26"/>
    <w:rsid w:val="005B514B"/>
    <w:rsid w:val="005C3375"/>
    <w:rsid w:val="005C788E"/>
    <w:rsid w:val="005D4C94"/>
    <w:rsid w:val="005D6503"/>
    <w:rsid w:val="005D6F46"/>
    <w:rsid w:val="005D7B5B"/>
    <w:rsid w:val="005E5302"/>
    <w:rsid w:val="005F5DB2"/>
    <w:rsid w:val="00617F20"/>
    <w:rsid w:val="0063567C"/>
    <w:rsid w:val="0066775B"/>
    <w:rsid w:val="00671AAE"/>
    <w:rsid w:val="0068221D"/>
    <w:rsid w:val="006826C3"/>
    <w:rsid w:val="00683168"/>
    <w:rsid w:val="0069229C"/>
    <w:rsid w:val="006A64E2"/>
    <w:rsid w:val="006B1101"/>
    <w:rsid w:val="006C02B5"/>
    <w:rsid w:val="006E2477"/>
    <w:rsid w:val="00705D68"/>
    <w:rsid w:val="007122E6"/>
    <w:rsid w:val="00724BEA"/>
    <w:rsid w:val="0073361B"/>
    <w:rsid w:val="00736007"/>
    <w:rsid w:val="007443A2"/>
    <w:rsid w:val="00760EDC"/>
    <w:rsid w:val="007611D0"/>
    <w:rsid w:val="00773075"/>
    <w:rsid w:val="00786BB1"/>
    <w:rsid w:val="007A6D51"/>
    <w:rsid w:val="007B2DBD"/>
    <w:rsid w:val="007B3109"/>
    <w:rsid w:val="007B4E57"/>
    <w:rsid w:val="007B72D5"/>
    <w:rsid w:val="007D28CA"/>
    <w:rsid w:val="007E06BB"/>
    <w:rsid w:val="007E5480"/>
    <w:rsid w:val="00800F6A"/>
    <w:rsid w:val="0080513A"/>
    <w:rsid w:val="00807D67"/>
    <w:rsid w:val="00814730"/>
    <w:rsid w:val="00840088"/>
    <w:rsid w:val="00840B4A"/>
    <w:rsid w:val="008469CA"/>
    <w:rsid w:val="008578E9"/>
    <w:rsid w:val="00857F1B"/>
    <w:rsid w:val="00865C7A"/>
    <w:rsid w:val="0087060B"/>
    <w:rsid w:val="008850FB"/>
    <w:rsid w:val="00891675"/>
    <w:rsid w:val="008A5509"/>
    <w:rsid w:val="008C261D"/>
    <w:rsid w:val="008C32CC"/>
    <w:rsid w:val="008C3ACA"/>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4B07"/>
    <w:rsid w:val="00946C6A"/>
    <w:rsid w:val="00947D81"/>
    <w:rsid w:val="00960785"/>
    <w:rsid w:val="009703DB"/>
    <w:rsid w:val="00972D3C"/>
    <w:rsid w:val="00975B1A"/>
    <w:rsid w:val="0097719C"/>
    <w:rsid w:val="00985C7E"/>
    <w:rsid w:val="00990459"/>
    <w:rsid w:val="00991CBC"/>
    <w:rsid w:val="00993D0D"/>
    <w:rsid w:val="009C5B81"/>
    <w:rsid w:val="009C6F87"/>
    <w:rsid w:val="009D300B"/>
    <w:rsid w:val="009E5E5C"/>
    <w:rsid w:val="00A018A0"/>
    <w:rsid w:val="00A029E7"/>
    <w:rsid w:val="00A108DB"/>
    <w:rsid w:val="00A24050"/>
    <w:rsid w:val="00A24489"/>
    <w:rsid w:val="00A2581D"/>
    <w:rsid w:val="00A60694"/>
    <w:rsid w:val="00A76779"/>
    <w:rsid w:val="00A86E2C"/>
    <w:rsid w:val="00AB77FB"/>
    <w:rsid w:val="00AE1B9E"/>
    <w:rsid w:val="00AE51EF"/>
    <w:rsid w:val="00AE5435"/>
    <w:rsid w:val="00AF50EF"/>
    <w:rsid w:val="00AF51DE"/>
    <w:rsid w:val="00B024BA"/>
    <w:rsid w:val="00B0713B"/>
    <w:rsid w:val="00B329E2"/>
    <w:rsid w:val="00B33B48"/>
    <w:rsid w:val="00B33F4A"/>
    <w:rsid w:val="00B47656"/>
    <w:rsid w:val="00B50A3F"/>
    <w:rsid w:val="00B657A0"/>
    <w:rsid w:val="00B65A3E"/>
    <w:rsid w:val="00B72A34"/>
    <w:rsid w:val="00B7327C"/>
    <w:rsid w:val="00B77080"/>
    <w:rsid w:val="00B9389D"/>
    <w:rsid w:val="00B9584F"/>
    <w:rsid w:val="00BC3417"/>
    <w:rsid w:val="00BC547E"/>
    <w:rsid w:val="00BD40BD"/>
    <w:rsid w:val="00BD4D44"/>
    <w:rsid w:val="00BD4E9A"/>
    <w:rsid w:val="00BE0218"/>
    <w:rsid w:val="00BF2118"/>
    <w:rsid w:val="00BF2A54"/>
    <w:rsid w:val="00BF35BC"/>
    <w:rsid w:val="00C04852"/>
    <w:rsid w:val="00C04F02"/>
    <w:rsid w:val="00C07008"/>
    <w:rsid w:val="00C10DE6"/>
    <w:rsid w:val="00C12950"/>
    <w:rsid w:val="00C41993"/>
    <w:rsid w:val="00C435AF"/>
    <w:rsid w:val="00C441DA"/>
    <w:rsid w:val="00C521D8"/>
    <w:rsid w:val="00C54EF3"/>
    <w:rsid w:val="00C55169"/>
    <w:rsid w:val="00C60722"/>
    <w:rsid w:val="00C639FC"/>
    <w:rsid w:val="00C91D54"/>
    <w:rsid w:val="00C96A6C"/>
    <w:rsid w:val="00CB70B1"/>
    <w:rsid w:val="00CE4D8E"/>
    <w:rsid w:val="00CE6324"/>
    <w:rsid w:val="00CE7C6D"/>
    <w:rsid w:val="00D0397B"/>
    <w:rsid w:val="00D04850"/>
    <w:rsid w:val="00D0677A"/>
    <w:rsid w:val="00D10A5D"/>
    <w:rsid w:val="00D16C13"/>
    <w:rsid w:val="00D210AA"/>
    <w:rsid w:val="00D32BC8"/>
    <w:rsid w:val="00D42442"/>
    <w:rsid w:val="00D47E18"/>
    <w:rsid w:val="00D7134F"/>
    <w:rsid w:val="00D91B3F"/>
    <w:rsid w:val="00DA0D40"/>
    <w:rsid w:val="00DB7438"/>
    <w:rsid w:val="00DC53CF"/>
    <w:rsid w:val="00DD038E"/>
    <w:rsid w:val="00DE3BC7"/>
    <w:rsid w:val="00DE3DFA"/>
    <w:rsid w:val="00DF04E3"/>
    <w:rsid w:val="00E04E31"/>
    <w:rsid w:val="00E07556"/>
    <w:rsid w:val="00E12D44"/>
    <w:rsid w:val="00E2671D"/>
    <w:rsid w:val="00E26F68"/>
    <w:rsid w:val="00E27085"/>
    <w:rsid w:val="00E6024D"/>
    <w:rsid w:val="00E60591"/>
    <w:rsid w:val="00E65415"/>
    <w:rsid w:val="00E655B9"/>
    <w:rsid w:val="00E66C6E"/>
    <w:rsid w:val="00EA05AD"/>
    <w:rsid w:val="00EB5028"/>
    <w:rsid w:val="00ED118D"/>
    <w:rsid w:val="00EF3187"/>
    <w:rsid w:val="00F00863"/>
    <w:rsid w:val="00F01932"/>
    <w:rsid w:val="00F15D95"/>
    <w:rsid w:val="00F259BE"/>
    <w:rsid w:val="00F30178"/>
    <w:rsid w:val="00F3539D"/>
    <w:rsid w:val="00F379D8"/>
    <w:rsid w:val="00F64584"/>
    <w:rsid w:val="00F76DF4"/>
    <w:rsid w:val="00FB5D0B"/>
    <w:rsid w:val="00FD043C"/>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f">
      <v:fill color="white"/>
      <v:stroke on="f"/>
    </o:shapedefaults>
    <o:shapelayout v:ext="edit">
      <o:idmap v:ext="edit" data="1"/>
    </o:shapelayout>
  </w:shapeDefaults>
  <w:doNotEmbedSmartTags/>
  <w:decimalSymbol w:val=","/>
  <w:listSeparator w:val=";"/>
  <w14:docId w14:val="62284E42"/>
  <w15:docId w15:val="{3EE3F259-B568-42EB-93FF-1B5557AE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1</Pages>
  <Words>490</Words>
  <Characters>2796</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3280</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2022-05-24T11:09:00Z</cp:lastPrinted>
  <dcterms:created xsi:type="dcterms:W3CDTF">2022-05-31T15:32:00Z</dcterms:created>
  <dcterms:modified xsi:type="dcterms:W3CDTF">2022-05-31T15:32:00Z</dcterms:modified>
</cp:coreProperties>
</file>