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0AF0D59A" w:rsidR="00C12950" w:rsidRPr="00814730" w:rsidRDefault="00814730" w:rsidP="00D0397B">
            <w:pPr>
              <w:ind w:left="-142" w:right="212"/>
              <w:jc w:val="right"/>
              <w:rPr>
                <w:rFonts w:ascii="Gill Sans MT" w:hAnsi="Gill Sans MT"/>
                <w:b/>
                <w:color w:val="000000" w:themeColor="text1"/>
                <w:sz w:val="14"/>
              </w:rPr>
            </w:pPr>
            <w:r w:rsidRPr="00814730">
              <w:rPr>
                <w:rFonts w:ascii="Helvetica" w:hAnsi="Helvetica"/>
                <w:color w:val="000000" w:themeColor="text1"/>
                <w:sz w:val="14"/>
              </w:rPr>
              <w:t>31</w:t>
            </w:r>
            <w:r w:rsidR="00AE5435" w:rsidRPr="00814730">
              <w:rPr>
                <w:rFonts w:ascii="Helvetica" w:hAnsi="Helvetica"/>
                <w:color w:val="000000" w:themeColor="text1"/>
                <w:sz w:val="14"/>
              </w:rPr>
              <w:t xml:space="preserve"> maggio</w:t>
            </w:r>
            <w:r w:rsidR="005D6F46" w:rsidRPr="00814730">
              <w:rPr>
                <w:rFonts w:ascii="Helvetica" w:hAnsi="Helvetica"/>
                <w:color w:val="000000" w:themeColor="text1"/>
                <w:sz w:val="14"/>
              </w:rPr>
              <w:t xml:space="preserve"> 202</w:t>
            </w:r>
            <w:r w:rsidR="00D0397B" w:rsidRPr="00814730">
              <w:rPr>
                <w:rFonts w:ascii="Helvetica" w:hAnsi="Helvetica"/>
                <w:color w:val="000000" w:themeColor="text1"/>
                <w:sz w:val="14"/>
              </w:rPr>
              <w:t>2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44DF9640" w14:textId="77777777" w:rsidR="009D300B" w:rsidRDefault="009D300B" w:rsidP="002C0A71">
      <w:pPr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1A40873F" w14:textId="647539DD" w:rsidR="00BC3417" w:rsidRDefault="008F4FEF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8F4FEF">
        <w:rPr>
          <w:rFonts w:ascii="Arial" w:hAnsi="Arial" w:cs="Arial"/>
          <w:b/>
          <w:color w:val="000000" w:themeColor="text1"/>
          <w:sz w:val="20"/>
        </w:rPr>
        <w:t>TECNOLOGIE PER IL LEGNO</w:t>
      </w:r>
      <w:r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AE5435">
        <w:rPr>
          <w:rFonts w:ascii="Arial" w:hAnsi="Arial" w:cs="Arial"/>
          <w:b/>
          <w:color w:val="000000" w:themeColor="text1"/>
          <w:sz w:val="20"/>
        </w:rPr>
        <w:t>ANCORA UN OTTIMO Q1</w:t>
      </w:r>
      <w:r w:rsidR="00E27085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7C63C18B" w14:textId="1499E318" w:rsidR="007E06BB" w:rsidRDefault="007E06BB" w:rsidP="00D10A5D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34D89D4" w14:textId="77777777" w:rsidR="00EF3187" w:rsidRPr="005D6F46" w:rsidRDefault="00EF3187" w:rsidP="000A33AA">
      <w:pPr>
        <w:tabs>
          <w:tab w:val="left" w:pos="142"/>
          <w:tab w:val="left" w:pos="426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C6A381B" w14:textId="5A57FCB4" w:rsidR="00AE5435" w:rsidRDefault="00E65415" w:rsidP="005D6F4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5D6F46">
        <w:rPr>
          <w:rFonts w:ascii="Arial" w:hAnsi="Arial" w:cs="Arial"/>
          <w:color w:val="000000" w:themeColor="text1"/>
          <w:sz w:val="20"/>
        </w:rPr>
        <w:t>I</w:t>
      </w:r>
      <w:r w:rsidR="00D0397B">
        <w:rPr>
          <w:rFonts w:ascii="Arial" w:hAnsi="Arial" w:cs="Arial"/>
          <w:color w:val="000000" w:themeColor="text1"/>
          <w:sz w:val="20"/>
        </w:rPr>
        <w:t>I</w:t>
      </w:r>
      <w:r w:rsidR="00AE5435">
        <w:rPr>
          <w:rFonts w:ascii="Arial" w:hAnsi="Arial" w:cs="Arial"/>
          <w:color w:val="000000" w:themeColor="text1"/>
          <w:sz w:val="20"/>
        </w:rPr>
        <w:t xml:space="preserve"> </w:t>
      </w:r>
      <w:r w:rsidR="00AE5435" w:rsidRPr="00AE5435">
        <w:rPr>
          <w:rFonts w:ascii="Arial" w:hAnsi="Arial" w:cs="Arial"/>
          <w:b/>
          <w:color w:val="000000" w:themeColor="text1"/>
          <w:sz w:val="20"/>
        </w:rPr>
        <w:t>primo trimestre 2022</w:t>
      </w:r>
      <w:r w:rsidR="00AE5435">
        <w:rPr>
          <w:rFonts w:ascii="Arial" w:hAnsi="Arial" w:cs="Arial"/>
          <w:color w:val="000000" w:themeColor="text1"/>
          <w:sz w:val="20"/>
        </w:rPr>
        <w:t xml:space="preserve"> conferma, pur con </w:t>
      </w:r>
      <w:r w:rsidR="002E4AEA">
        <w:rPr>
          <w:rFonts w:ascii="Arial" w:hAnsi="Arial" w:cs="Arial"/>
          <w:color w:val="000000" w:themeColor="text1"/>
          <w:sz w:val="20"/>
        </w:rPr>
        <w:t xml:space="preserve">sensibili </w:t>
      </w:r>
      <w:r w:rsidR="00AE5435">
        <w:rPr>
          <w:rFonts w:ascii="Arial" w:hAnsi="Arial" w:cs="Arial"/>
          <w:color w:val="000000" w:themeColor="text1"/>
          <w:sz w:val="20"/>
        </w:rPr>
        <w:t xml:space="preserve">differenze rispetto al precedente, lo stato di buona salute del settore delle tecnologie per l’industria del mobile e la lavorazione del legno. È quanto emerge dalla oramai consueta </w:t>
      </w:r>
      <w:r w:rsidR="00AE5435" w:rsidRPr="00AE5435">
        <w:rPr>
          <w:rFonts w:ascii="Arial" w:hAnsi="Arial" w:cs="Arial"/>
          <w:b/>
          <w:color w:val="000000" w:themeColor="text1"/>
          <w:sz w:val="20"/>
        </w:rPr>
        <w:t>indagine trimestrale</w:t>
      </w:r>
      <w:r w:rsidR="00AE5435">
        <w:rPr>
          <w:rFonts w:ascii="Arial" w:hAnsi="Arial" w:cs="Arial"/>
          <w:color w:val="000000" w:themeColor="text1"/>
          <w:sz w:val="20"/>
        </w:rPr>
        <w:t xml:space="preserve"> realizzata dall’Ufficio studi di </w:t>
      </w:r>
      <w:proofErr w:type="spellStart"/>
      <w:r w:rsidR="00AE5435" w:rsidRPr="00AE5435">
        <w:rPr>
          <w:rFonts w:ascii="Arial" w:hAnsi="Arial" w:cs="Arial"/>
          <w:b/>
          <w:color w:val="000000" w:themeColor="text1"/>
          <w:sz w:val="20"/>
        </w:rPr>
        <w:t>Acimall</w:t>
      </w:r>
      <w:proofErr w:type="spellEnd"/>
      <w:r w:rsidR="00AE5435">
        <w:rPr>
          <w:rFonts w:ascii="Arial" w:hAnsi="Arial" w:cs="Arial"/>
          <w:color w:val="000000" w:themeColor="text1"/>
          <w:sz w:val="20"/>
        </w:rPr>
        <w:t xml:space="preserve"> – l’associazione confindustriale che raccoglie i produttori italiani di macchine, utensili e attrezzature </w:t>
      </w:r>
      <w:r w:rsidR="00AE5435">
        <w:rPr>
          <w:rFonts w:ascii="Arial" w:hAnsi="Arial" w:cs="Arial"/>
          <w:color w:val="000000" w:themeColor="text1"/>
          <w:sz w:val="20"/>
        </w:rPr>
        <w:softHyphen/>
        <w:t>– su un campione significativo della produzione nazionale.</w:t>
      </w:r>
    </w:p>
    <w:p w14:paraId="2E2EE424" w14:textId="0505564C" w:rsidR="00AE5435" w:rsidRDefault="00AE5435" w:rsidP="00AE5435">
      <w:pPr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Archiviato un </w:t>
      </w:r>
      <w:r w:rsidRPr="00AE5435">
        <w:rPr>
          <w:rFonts w:ascii="Arial" w:hAnsi="Arial" w:cs="Arial"/>
          <w:b/>
          <w:color w:val="000000" w:themeColor="text1"/>
          <w:sz w:val="20"/>
        </w:rPr>
        <w:t>2021</w:t>
      </w:r>
      <w:r>
        <w:rPr>
          <w:rFonts w:ascii="Arial" w:hAnsi="Arial" w:cs="Arial"/>
          <w:color w:val="000000" w:themeColor="text1"/>
          <w:sz w:val="20"/>
        </w:rPr>
        <w:t xml:space="preserve"> con dati della produzione assolutamente eccezionali (più </w:t>
      </w:r>
      <w:r w:rsidR="00BE0218">
        <w:rPr>
          <w:rFonts w:ascii="Arial" w:hAnsi="Arial" w:cs="Arial"/>
          <w:color w:val="000000" w:themeColor="text1"/>
          <w:sz w:val="20"/>
        </w:rPr>
        <w:t>36,9</w:t>
      </w:r>
      <w:r>
        <w:rPr>
          <w:rFonts w:ascii="Arial" w:hAnsi="Arial" w:cs="Arial"/>
          <w:color w:val="000000" w:themeColor="text1"/>
          <w:sz w:val="20"/>
        </w:rPr>
        <w:t xml:space="preserve"> per cento rispetto al </w:t>
      </w:r>
      <w:r w:rsidRPr="00E12D44">
        <w:rPr>
          <w:rFonts w:ascii="Arial" w:hAnsi="Arial" w:cs="Arial"/>
          <w:b/>
          <w:color w:val="000000" w:themeColor="text1"/>
          <w:sz w:val="20"/>
        </w:rPr>
        <w:t>2020</w:t>
      </w:r>
      <w:r>
        <w:rPr>
          <w:rFonts w:ascii="Arial" w:hAnsi="Arial" w:cs="Arial"/>
          <w:color w:val="000000" w:themeColor="text1"/>
          <w:sz w:val="20"/>
        </w:rPr>
        <w:t xml:space="preserve"> e più </w:t>
      </w:r>
      <w:r w:rsidR="00BE0218">
        <w:rPr>
          <w:rFonts w:ascii="Arial" w:hAnsi="Arial" w:cs="Arial"/>
          <w:color w:val="000000" w:themeColor="text1"/>
          <w:sz w:val="20"/>
        </w:rPr>
        <w:t>11,6</w:t>
      </w:r>
      <w:r>
        <w:rPr>
          <w:rFonts w:ascii="Arial" w:hAnsi="Arial" w:cs="Arial"/>
          <w:color w:val="000000" w:themeColor="text1"/>
          <w:sz w:val="20"/>
        </w:rPr>
        <w:t xml:space="preserve"> per cento sul </w:t>
      </w:r>
      <w:r w:rsidRPr="00AE5435">
        <w:rPr>
          <w:rFonts w:ascii="Arial" w:hAnsi="Arial" w:cs="Arial"/>
          <w:b/>
          <w:color w:val="000000" w:themeColor="text1"/>
          <w:sz w:val="20"/>
        </w:rPr>
        <w:t>2019</w:t>
      </w:r>
      <w:r>
        <w:rPr>
          <w:rFonts w:ascii="Arial" w:hAnsi="Arial" w:cs="Arial"/>
          <w:color w:val="000000" w:themeColor="text1"/>
          <w:sz w:val="20"/>
        </w:rPr>
        <w:t xml:space="preserve">), l’anno appena iniziato pare destinato a </w:t>
      </w:r>
      <w:r w:rsidR="00B9389D">
        <w:rPr>
          <w:rFonts w:ascii="Arial" w:hAnsi="Arial" w:cs="Arial"/>
          <w:color w:val="000000" w:themeColor="text1"/>
          <w:sz w:val="20"/>
        </w:rPr>
        <w:t>mantenere il segno positivo.</w:t>
      </w:r>
    </w:p>
    <w:p w14:paraId="231DF7BD" w14:textId="77777777" w:rsidR="00B9389D" w:rsidRDefault="00B9389D" w:rsidP="00AE5435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0BADC2A8" w14:textId="7E42A5E7" w:rsidR="00B9389D" w:rsidRDefault="00B9389D" w:rsidP="00AE5435">
      <w:pPr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Nel periodo gennaio-marzo 2022</w:t>
      </w:r>
      <w:r w:rsidR="00337870">
        <w:rPr>
          <w:rFonts w:ascii="Arial" w:hAnsi="Arial" w:cs="Arial"/>
          <w:color w:val="000000" w:themeColor="text1"/>
          <w:sz w:val="20"/>
        </w:rPr>
        <w:t xml:space="preserve"> gli </w:t>
      </w:r>
      <w:r w:rsidR="00337870" w:rsidRPr="00337870">
        <w:rPr>
          <w:rFonts w:ascii="Arial" w:hAnsi="Arial" w:cs="Arial"/>
          <w:b/>
          <w:color w:val="000000" w:themeColor="text1"/>
          <w:sz w:val="20"/>
        </w:rPr>
        <w:t>ordini</w:t>
      </w:r>
      <w:r w:rsidR="00337870">
        <w:rPr>
          <w:rFonts w:ascii="Arial" w:hAnsi="Arial" w:cs="Arial"/>
          <w:color w:val="000000" w:themeColor="text1"/>
          <w:sz w:val="20"/>
        </w:rPr>
        <w:t xml:space="preserve"> sono cresciuti complessivamente del 21,7 per cento rispetto all’analogo trimestre 2021, grazie al più 35,1 per cento del </w:t>
      </w:r>
      <w:r w:rsidR="00337870" w:rsidRPr="00337870">
        <w:rPr>
          <w:rFonts w:ascii="Arial" w:hAnsi="Arial" w:cs="Arial"/>
          <w:b/>
          <w:color w:val="000000" w:themeColor="text1"/>
          <w:sz w:val="20"/>
        </w:rPr>
        <w:t>mercato interno</w:t>
      </w:r>
      <w:r w:rsidR="00337870">
        <w:rPr>
          <w:rFonts w:ascii="Arial" w:hAnsi="Arial" w:cs="Arial"/>
          <w:color w:val="000000" w:themeColor="text1"/>
          <w:sz w:val="20"/>
        </w:rPr>
        <w:t xml:space="preserve"> – che si rivela ancora estremamente propenso ad investire – e al più contenuto 3,3 per cento messo a segno dalla </w:t>
      </w:r>
      <w:r w:rsidR="00337870" w:rsidRPr="00337870">
        <w:rPr>
          <w:rFonts w:ascii="Arial" w:hAnsi="Arial" w:cs="Arial"/>
          <w:b/>
          <w:color w:val="000000" w:themeColor="text1"/>
          <w:sz w:val="20"/>
        </w:rPr>
        <w:t>esportazione</w:t>
      </w:r>
      <w:r w:rsidR="00337870">
        <w:rPr>
          <w:rFonts w:ascii="Arial" w:hAnsi="Arial" w:cs="Arial"/>
          <w:color w:val="000000" w:themeColor="text1"/>
          <w:sz w:val="20"/>
        </w:rPr>
        <w:t>.</w:t>
      </w:r>
    </w:p>
    <w:p w14:paraId="74A1B7DE" w14:textId="77777777" w:rsidR="003F7FC6" w:rsidRDefault="003F7FC6" w:rsidP="003F7FC6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1BAF283D" w14:textId="4D864F9A" w:rsidR="003F7FC6" w:rsidRDefault="003F7FC6" w:rsidP="003F7FC6">
      <w:pPr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I</w:t>
      </w:r>
      <w:r w:rsidRPr="00FB5D0B">
        <w:rPr>
          <w:rFonts w:ascii="Arial" w:hAnsi="Arial" w:cs="Arial"/>
          <w:color w:val="000000" w:themeColor="text1"/>
          <w:sz w:val="20"/>
        </w:rPr>
        <w:t xml:space="preserve">l </w:t>
      </w:r>
      <w:r w:rsidRPr="00FB5D0B">
        <w:rPr>
          <w:rFonts w:ascii="Arial" w:hAnsi="Arial" w:cs="Arial"/>
          <w:b/>
          <w:bCs/>
          <w:color w:val="000000" w:themeColor="text1"/>
          <w:sz w:val="20"/>
        </w:rPr>
        <w:t>carnet ordini</w:t>
      </w:r>
      <w:r w:rsidRPr="00FB5D0B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rimane stabile attorno ai sei mesi di produzione assicurata (6,1 mesi nel periodo ottobre-dicembre 2021).</w:t>
      </w:r>
      <w:r w:rsidR="002E4AEA">
        <w:rPr>
          <w:rFonts w:ascii="Arial" w:hAnsi="Arial" w:cs="Arial"/>
          <w:color w:val="000000" w:themeColor="text1"/>
          <w:sz w:val="20"/>
        </w:rPr>
        <w:t xml:space="preserve"> Assistiamo purtroppo a una autentica impennata dei</w:t>
      </w:r>
      <w:r w:rsidR="00444FEE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EA05AD">
        <w:rPr>
          <w:rFonts w:ascii="Arial" w:hAnsi="Arial" w:cs="Arial"/>
          <w:b/>
          <w:color w:val="000000" w:themeColor="text1"/>
          <w:sz w:val="20"/>
        </w:rPr>
        <w:t>prezzi</w:t>
      </w:r>
      <w:r>
        <w:rPr>
          <w:rFonts w:ascii="Arial" w:hAnsi="Arial" w:cs="Arial"/>
          <w:color w:val="000000" w:themeColor="text1"/>
          <w:sz w:val="20"/>
        </w:rPr>
        <w:t>, che nel primo trimestre 2022 hanno registrato un aumento del 5,3 per cento,</w:t>
      </w:r>
      <w:r w:rsidR="002E4AEA">
        <w:rPr>
          <w:rFonts w:ascii="Arial" w:hAnsi="Arial" w:cs="Arial"/>
          <w:color w:val="000000" w:themeColor="text1"/>
          <w:sz w:val="20"/>
        </w:rPr>
        <w:t xml:space="preserve"> </w:t>
      </w:r>
      <w:r w:rsidR="00444FEE">
        <w:rPr>
          <w:rFonts w:ascii="Arial" w:hAnsi="Arial" w:cs="Arial"/>
          <w:color w:val="000000" w:themeColor="text1"/>
          <w:sz w:val="20"/>
        </w:rPr>
        <w:t>pari a quello riscontratosi nel corso di tutto l’anno precedente</w:t>
      </w:r>
      <w:r>
        <w:rPr>
          <w:rFonts w:ascii="Arial" w:hAnsi="Arial" w:cs="Arial"/>
          <w:color w:val="000000" w:themeColor="text1"/>
          <w:sz w:val="20"/>
        </w:rPr>
        <w:t>.</w:t>
      </w:r>
    </w:p>
    <w:p w14:paraId="07C7B065" w14:textId="77777777" w:rsidR="00094668" w:rsidRDefault="00094668" w:rsidP="003F7FC6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5BC3862B" w14:textId="06449E45" w:rsidR="00C521D8" w:rsidRPr="00094668" w:rsidRDefault="003F7FC6" w:rsidP="00094668">
      <w:pPr>
        <w:ind w:left="426"/>
        <w:rPr>
          <w:rFonts w:ascii="Arial" w:hAnsi="Arial" w:cs="Arial"/>
          <w:color w:val="000000" w:themeColor="text1"/>
          <w:sz w:val="20"/>
        </w:rPr>
      </w:pPr>
      <w:r w:rsidRPr="003F7FC6">
        <w:rPr>
          <w:rFonts w:ascii="Arial" w:hAnsi="Arial" w:cs="Arial"/>
          <w:i/>
          <w:color w:val="000000" w:themeColor="text1"/>
          <w:sz w:val="20"/>
        </w:rPr>
        <w:t>“Scontiamo le gravi difficoltà che purtroppo ancora persistono sul fronte degli acquisti</w:t>
      </w:r>
      <w:r w:rsidR="00094668">
        <w:rPr>
          <w:rFonts w:ascii="Arial" w:hAnsi="Arial" w:cs="Arial"/>
          <w:i/>
          <w:color w:val="000000" w:themeColor="text1"/>
          <w:sz w:val="20"/>
        </w:rPr>
        <w:t xml:space="preserve"> e degli approvvigionamenti</w:t>
      </w:r>
      <w:r w:rsidRPr="003F7FC6">
        <w:rPr>
          <w:rFonts w:ascii="Arial" w:hAnsi="Arial" w:cs="Arial"/>
          <w:i/>
          <w:color w:val="000000" w:themeColor="text1"/>
          <w:sz w:val="20"/>
        </w:rPr>
        <w:t>”,</w:t>
      </w:r>
      <w:r>
        <w:rPr>
          <w:rFonts w:ascii="Arial" w:hAnsi="Arial" w:cs="Arial"/>
          <w:color w:val="000000" w:themeColor="text1"/>
          <w:sz w:val="20"/>
        </w:rPr>
        <w:t xml:space="preserve"> ha commentato </w:t>
      </w:r>
      <w:r w:rsidRPr="00094668">
        <w:rPr>
          <w:rFonts w:ascii="Arial" w:hAnsi="Arial" w:cs="Arial"/>
          <w:b/>
          <w:color w:val="000000" w:themeColor="text1"/>
          <w:sz w:val="20"/>
        </w:rPr>
        <w:t>L</w:t>
      </w:r>
      <w:r w:rsidRPr="003F7FC6">
        <w:rPr>
          <w:rFonts w:ascii="Arial" w:hAnsi="Arial" w:cs="Arial"/>
          <w:b/>
          <w:color w:val="000000" w:themeColor="text1"/>
          <w:sz w:val="20"/>
        </w:rPr>
        <w:t>uigi De Vito</w:t>
      </w:r>
      <w:r>
        <w:rPr>
          <w:rFonts w:ascii="Arial" w:hAnsi="Arial" w:cs="Arial"/>
          <w:color w:val="000000" w:themeColor="text1"/>
          <w:sz w:val="20"/>
        </w:rPr>
        <w:t xml:space="preserve">, presidente di </w:t>
      </w:r>
      <w:proofErr w:type="spellStart"/>
      <w:r>
        <w:rPr>
          <w:rFonts w:ascii="Arial" w:hAnsi="Arial" w:cs="Arial"/>
          <w:color w:val="000000" w:themeColor="text1"/>
          <w:sz w:val="20"/>
        </w:rPr>
        <w:t>Acimall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. </w:t>
      </w:r>
      <w:r w:rsidRPr="00042BE5">
        <w:rPr>
          <w:rFonts w:ascii="Arial" w:hAnsi="Arial" w:cs="Arial"/>
          <w:i/>
          <w:color w:val="000000" w:themeColor="text1"/>
          <w:sz w:val="20"/>
        </w:rPr>
        <w:t xml:space="preserve">“L’intero sistema economico e produttivo mondiale fa i conti con una situazione resa ancora più </w:t>
      </w:r>
      <w:r w:rsidR="006E2477" w:rsidRPr="00042BE5">
        <w:rPr>
          <w:rFonts w:ascii="Arial" w:hAnsi="Arial" w:cs="Arial"/>
          <w:i/>
          <w:color w:val="000000" w:themeColor="text1"/>
          <w:sz w:val="20"/>
        </w:rPr>
        <w:t>pesant</w:t>
      </w:r>
      <w:r w:rsidRPr="00042BE5">
        <w:rPr>
          <w:rFonts w:ascii="Arial" w:hAnsi="Arial" w:cs="Arial"/>
          <w:i/>
          <w:color w:val="000000" w:themeColor="text1"/>
          <w:sz w:val="20"/>
        </w:rPr>
        <w:t xml:space="preserve">e </w:t>
      </w:r>
      <w:r w:rsidR="00094668">
        <w:rPr>
          <w:rFonts w:ascii="Arial" w:hAnsi="Arial" w:cs="Arial"/>
          <w:i/>
          <w:color w:val="000000" w:themeColor="text1"/>
          <w:sz w:val="20"/>
        </w:rPr>
        <w:t xml:space="preserve">dal </w:t>
      </w:r>
      <w:r w:rsidR="00094668" w:rsidRPr="00042BE5">
        <w:rPr>
          <w:rFonts w:ascii="Arial" w:hAnsi="Arial" w:cs="Arial"/>
          <w:i/>
          <w:color w:val="000000" w:themeColor="text1"/>
          <w:sz w:val="20"/>
        </w:rPr>
        <w:t>conflitto nell’Est Europa</w:t>
      </w:r>
      <w:r w:rsidR="00094668">
        <w:rPr>
          <w:rFonts w:ascii="Arial" w:hAnsi="Arial" w:cs="Arial"/>
          <w:i/>
          <w:color w:val="000000" w:themeColor="text1"/>
          <w:sz w:val="20"/>
        </w:rPr>
        <w:t>, oltre che</w:t>
      </w:r>
      <w:r w:rsidR="00094668" w:rsidRPr="00042BE5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6E2477" w:rsidRPr="00042BE5">
        <w:rPr>
          <w:rFonts w:ascii="Arial" w:hAnsi="Arial" w:cs="Arial"/>
          <w:i/>
          <w:color w:val="000000" w:themeColor="text1"/>
          <w:sz w:val="20"/>
        </w:rPr>
        <w:t>dagli interrogativi sull’andamento della situ</w:t>
      </w:r>
      <w:r w:rsidR="00094668">
        <w:rPr>
          <w:rFonts w:ascii="Arial" w:hAnsi="Arial" w:cs="Arial"/>
          <w:i/>
          <w:color w:val="000000" w:themeColor="text1"/>
          <w:sz w:val="20"/>
        </w:rPr>
        <w:t>azione sanitaria nella seconda parte dell’anno</w:t>
      </w:r>
      <w:r w:rsidR="00042BE5" w:rsidRPr="00042BE5">
        <w:rPr>
          <w:rFonts w:ascii="Arial" w:hAnsi="Arial" w:cs="Arial"/>
          <w:i/>
          <w:color w:val="000000" w:themeColor="text1"/>
          <w:sz w:val="20"/>
        </w:rPr>
        <w:t>”</w:t>
      </w:r>
      <w:r w:rsidR="00C521D8" w:rsidRPr="00042BE5">
        <w:rPr>
          <w:rFonts w:ascii="Arial" w:hAnsi="Arial" w:cs="Arial"/>
          <w:i/>
          <w:color w:val="000000" w:themeColor="text1"/>
          <w:sz w:val="20"/>
        </w:rPr>
        <w:t>.</w:t>
      </w:r>
      <w:r w:rsidR="006E2477" w:rsidRPr="00042BE5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042BE5">
        <w:rPr>
          <w:rFonts w:ascii="Arial" w:hAnsi="Arial" w:cs="Arial"/>
          <w:i/>
          <w:color w:val="000000" w:themeColor="text1"/>
          <w:sz w:val="20"/>
        </w:rPr>
        <w:t>“</w:t>
      </w:r>
      <w:r w:rsidR="00C521D8">
        <w:rPr>
          <w:rFonts w:ascii="Arial" w:hAnsi="Arial" w:cs="Arial"/>
          <w:i/>
          <w:color w:val="000000" w:themeColor="text1"/>
          <w:sz w:val="20"/>
        </w:rPr>
        <w:t xml:space="preserve">A oggi è </w:t>
      </w:r>
      <w:r w:rsidR="00094668">
        <w:rPr>
          <w:rFonts w:ascii="Arial" w:hAnsi="Arial" w:cs="Arial"/>
          <w:i/>
          <w:color w:val="000000" w:themeColor="text1"/>
          <w:sz w:val="20"/>
        </w:rPr>
        <w:t xml:space="preserve">purtroppo ancora </w:t>
      </w:r>
      <w:r w:rsidR="00C521D8">
        <w:rPr>
          <w:rFonts w:ascii="Arial" w:hAnsi="Arial" w:cs="Arial"/>
          <w:i/>
          <w:color w:val="000000" w:themeColor="text1"/>
          <w:sz w:val="20"/>
        </w:rPr>
        <w:t>difficile prevedere quando</w:t>
      </w:r>
      <w:r w:rsidR="00C521D8" w:rsidRPr="002E4AEA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2E4AEA" w:rsidRPr="002E4AEA">
        <w:rPr>
          <w:rFonts w:ascii="Arial" w:hAnsi="Arial" w:cs="Arial"/>
          <w:i/>
          <w:color w:val="000000" w:themeColor="text1"/>
          <w:sz w:val="20"/>
        </w:rPr>
        <w:t>si</w:t>
      </w:r>
      <w:r w:rsidR="00C521D8">
        <w:rPr>
          <w:rFonts w:ascii="Arial" w:hAnsi="Arial" w:cs="Arial"/>
          <w:i/>
          <w:color w:val="000000" w:themeColor="text1"/>
          <w:sz w:val="20"/>
        </w:rPr>
        <w:t xml:space="preserve"> po</w:t>
      </w:r>
      <w:r w:rsidR="00094668">
        <w:rPr>
          <w:rFonts w:ascii="Arial" w:hAnsi="Arial" w:cs="Arial"/>
          <w:i/>
          <w:color w:val="000000" w:themeColor="text1"/>
          <w:sz w:val="20"/>
        </w:rPr>
        <w:t>trà</w:t>
      </w:r>
      <w:r w:rsidR="00C521D8">
        <w:rPr>
          <w:rFonts w:ascii="Arial" w:hAnsi="Arial" w:cs="Arial"/>
          <w:i/>
          <w:color w:val="000000" w:themeColor="text1"/>
          <w:sz w:val="20"/>
        </w:rPr>
        <w:t xml:space="preserve"> tendere verso la normalità </w:t>
      </w:r>
      <w:r w:rsidR="00C521D8" w:rsidRPr="00C521D8">
        <w:rPr>
          <w:rFonts w:ascii="Arial" w:hAnsi="Arial" w:cs="Arial"/>
          <w:color w:val="000000" w:themeColor="text1"/>
          <w:sz w:val="20"/>
        </w:rPr>
        <w:t>–</w:t>
      </w:r>
      <w:r w:rsidR="00C521D8" w:rsidRPr="00C521D8">
        <w:rPr>
          <w:rFonts w:ascii="Arial" w:hAnsi="Arial" w:cs="Arial"/>
          <w:color w:val="000000" w:themeColor="text1"/>
          <w:sz w:val="20"/>
        </w:rPr>
        <w:softHyphen/>
        <w:t xml:space="preserve"> ha concluso De Vito – </w:t>
      </w:r>
      <w:r w:rsidR="00C521D8">
        <w:rPr>
          <w:rFonts w:ascii="Arial" w:hAnsi="Arial" w:cs="Arial"/>
          <w:i/>
          <w:color w:val="000000" w:themeColor="text1"/>
          <w:sz w:val="20"/>
        </w:rPr>
        <w:t>e saranno ancora una volta gli imprenditori a dover tenere saldo il timone, cercando di guidare le proprie imprese in un contesto dove ogni previsione, ogni scelta appare complessa”.</w:t>
      </w:r>
    </w:p>
    <w:p w14:paraId="172369D6" w14:textId="77777777" w:rsidR="003F7FC6" w:rsidRDefault="003F7FC6" w:rsidP="003F7FC6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26E845A0" w14:textId="3F3A5CD9" w:rsidR="00B0713B" w:rsidRPr="002E4AEA" w:rsidRDefault="00042BE5" w:rsidP="00094668">
      <w:pPr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Sostanzialmente stabili </w:t>
      </w:r>
      <w:r w:rsidR="00094668">
        <w:rPr>
          <w:rFonts w:ascii="Arial" w:hAnsi="Arial" w:cs="Arial"/>
          <w:color w:val="000000" w:themeColor="text1"/>
          <w:sz w:val="20"/>
        </w:rPr>
        <w:t>le opinioni sul fronte dell</w:t>
      </w:r>
      <w:r w:rsidR="001E72A3">
        <w:rPr>
          <w:rFonts w:ascii="Arial" w:hAnsi="Arial" w:cs="Arial"/>
          <w:color w:val="000000" w:themeColor="text1"/>
          <w:sz w:val="20"/>
        </w:rPr>
        <w:t>’</w:t>
      </w:r>
      <w:r w:rsidR="00E12D44">
        <w:rPr>
          <w:rFonts w:ascii="Arial" w:hAnsi="Arial" w:cs="Arial"/>
          <w:b/>
          <w:color w:val="000000" w:themeColor="text1"/>
          <w:sz w:val="20"/>
        </w:rPr>
        <w:t xml:space="preserve">indagine qualitativa, </w:t>
      </w:r>
      <w:r w:rsidR="001E72A3">
        <w:rPr>
          <w:rFonts w:ascii="Arial" w:hAnsi="Arial" w:cs="Arial"/>
          <w:color w:val="000000" w:themeColor="text1"/>
          <w:sz w:val="20"/>
        </w:rPr>
        <w:t>elaborata grazie alle risposte degli intervistati</w:t>
      </w:r>
      <w:r w:rsidR="00094668">
        <w:rPr>
          <w:rFonts w:ascii="Arial" w:hAnsi="Arial" w:cs="Arial"/>
          <w:color w:val="000000" w:themeColor="text1"/>
          <w:sz w:val="20"/>
        </w:rPr>
        <w:t xml:space="preserve">. Il 48 per cento del campione si pronuncia </w:t>
      </w:r>
      <w:r w:rsidR="00BF2A54">
        <w:rPr>
          <w:rFonts w:ascii="Arial" w:hAnsi="Arial" w:cs="Arial"/>
          <w:color w:val="000000" w:themeColor="text1"/>
          <w:sz w:val="20"/>
        </w:rPr>
        <w:t>per il</w:t>
      </w:r>
      <w:r w:rsidR="00094668">
        <w:rPr>
          <w:rFonts w:ascii="Arial" w:hAnsi="Arial" w:cs="Arial"/>
          <w:color w:val="000000" w:themeColor="text1"/>
          <w:sz w:val="20"/>
        </w:rPr>
        <w:t xml:space="preserve"> proseguimento della stagione positiva </w:t>
      </w:r>
      <w:r w:rsidR="00BF2A54">
        <w:rPr>
          <w:rFonts w:ascii="Arial" w:hAnsi="Arial" w:cs="Arial"/>
          <w:color w:val="000000" w:themeColor="text1"/>
          <w:sz w:val="20"/>
        </w:rPr>
        <w:t>del</w:t>
      </w:r>
      <w:r w:rsidR="00094668">
        <w:rPr>
          <w:rFonts w:ascii="Arial" w:hAnsi="Arial" w:cs="Arial"/>
          <w:color w:val="000000" w:themeColor="text1"/>
          <w:sz w:val="20"/>
        </w:rPr>
        <w:t>la produzione (era il 5</w:t>
      </w:r>
      <w:r w:rsidR="001E72A3">
        <w:rPr>
          <w:rFonts w:ascii="Arial" w:hAnsi="Arial" w:cs="Arial"/>
          <w:color w:val="000000" w:themeColor="text1"/>
          <w:sz w:val="20"/>
        </w:rPr>
        <w:t xml:space="preserve">7 per cento </w:t>
      </w:r>
      <w:r w:rsidR="00094668" w:rsidRPr="002E4AEA">
        <w:rPr>
          <w:rFonts w:ascii="Arial" w:hAnsi="Arial" w:cs="Arial"/>
          <w:color w:val="000000" w:themeColor="text1"/>
          <w:sz w:val="20"/>
        </w:rPr>
        <w:t>nel trimestre precedente</w:t>
      </w:r>
      <w:r w:rsidR="001E72A3" w:rsidRPr="002E4AEA">
        <w:rPr>
          <w:rFonts w:ascii="Arial" w:hAnsi="Arial" w:cs="Arial"/>
          <w:color w:val="000000" w:themeColor="text1"/>
          <w:sz w:val="20"/>
        </w:rPr>
        <w:t>)</w:t>
      </w:r>
      <w:r w:rsidR="00094668" w:rsidRPr="002E4AEA">
        <w:rPr>
          <w:rFonts w:ascii="Arial" w:hAnsi="Arial" w:cs="Arial"/>
          <w:color w:val="000000" w:themeColor="text1"/>
          <w:sz w:val="20"/>
        </w:rPr>
        <w:t xml:space="preserve">; il </w:t>
      </w:r>
      <w:r w:rsidR="003C234E" w:rsidRPr="002E4AEA">
        <w:rPr>
          <w:rFonts w:ascii="Arial" w:hAnsi="Arial" w:cs="Arial"/>
          <w:color w:val="000000" w:themeColor="text1"/>
          <w:sz w:val="20"/>
        </w:rPr>
        <w:t xml:space="preserve">52 </w:t>
      </w:r>
      <w:r w:rsidR="00094668" w:rsidRPr="002E4AEA">
        <w:rPr>
          <w:rFonts w:ascii="Arial" w:hAnsi="Arial" w:cs="Arial"/>
          <w:color w:val="000000" w:themeColor="text1"/>
          <w:sz w:val="20"/>
        </w:rPr>
        <w:t>per cento prevede una certa stabilità</w:t>
      </w:r>
      <w:r w:rsidR="001E72A3" w:rsidRPr="002E4AEA">
        <w:rPr>
          <w:rFonts w:ascii="Arial" w:hAnsi="Arial" w:cs="Arial"/>
          <w:color w:val="000000" w:themeColor="text1"/>
          <w:sz w:val="20"/>
        </w:rPr>
        <w:t xml:space="preserve"> (43 per cento</w:t>
      </w:r>
      <w:r w:rsidR="00094668" w:rsidRPr="002E4AEA">
        <w:rPr>
          <w:rFonts w:ascii="Arial" w:hAnsi="Arial" w:cs="Arial"/>
          <w:color w:val="000000" w:themeColor="text1"/>
          <w:sz w:val="20"/>
        </w:rPr>
        <w:t xml:space="preserve"> dell’ottobre-dicembre 2021). L</w:t>
      </w:r>
      <w:r w:rsidR="001E72A3" w:rsidRPr="002E4AEA">
        <w:rPr>
          <w:rFonts w:ascii="Arial" w:hAnsi="Arial" w:cs="Arial"/>
          <w:color w:val="000000" w:themeColor="text1"/>
          <w:sz w:val="20"/>
        </w:rPr>
        <w:t>’</w:t>
      </w:r>
      <w:r w:rsidR="001E72A3" w:rsidRPr="002E4AEA">
        <w:rPr>
          <w:rFonts w:ascii="Arial" w:hAnsi="Arial" w:cs="Arial"/>
          <w:b/>
          <w:color w:val="000000" w:themeColor="text1"/>
          <w:sz w:val="20"/>
        </w:rPr>
        <w:t>occupazione</w:t>
      </w:r>
      <w:r w:rsidR="001E72A3" w:rsidRPr="002E4AEA">
        <w:rPr>
          <w:rFonts w:ascii="Arial" w:hAnsi="Arial" w:cs="Arial"/>
          <w:color w:val="000000" w:themeColor="text1"/>
          <w:sz w:val="20"/>
        </w:rPr>
        <w:t>:</w:t>
      </w:r>
      <w:r w:rsidR="00094668" w:rsidRPr="002E4AEA">
        <w:rPr>
          <w:rFonts w:ascii="Arial" w:hAnsi="Arial" w:cs="Arial"/>
          <w:color w:val="000000" w:themeColor="text1"/>
          <w:sz w:val="20"/>
        </w:rPr>
        <w:t xml:space="preserve"> è</w:t>
      </w:r>
      <w:r w:rsidR="001E72A3" w:rsidRPr="002E4AEA">
        <w:rPr>
          <w:rFonts w:ascii="Arial" w:hAnsi="Arial" w:cs="Arial"/>
          <w:color w:val="000000" w:themeColor="text1"/>
          <w:sz w:val="20"/>
        </w:rPr>
        <w:t xml:space="preserve"> in aumento per il </w:t>
      </w:r>
      <w:r w:rsidR="00094668" w:rsidRPr="002E4AEA">
        <w:rPr>
          <w:rFonts w:ascii="Arial" w:hAnsi="Arial" w:cs="Arial"/>
          <w:color w:val="000000" w:themeColor="text1"/>
          <w:sz w:val="20"/>
        </w:rPr>
        <w:t>38 per cento del campione (era il 57 per cento il trimestre precedente),</w:t>
      </w:r>
      <w:r w:rsidR="001E72A3" w:rsidRPr="002E4AEA">
        <w:rPr>
          <w:rFonts w:ascii="Arial" w:hAnsi="Arial" w:cs="Arial"/>
          <w:color w:val="000000" w:themeColor="text1"/>
          <w:sz w:val="20"/>
        </w:rPr>
        <w:t xml:space="preserve"> stabile per il </w:t>
      </w:r>
      <w:r w:rsidR="00BF2A54" w:rsidRPr="002E4AEA">
        <w:rPr>
          <w:rFonts w:ascii="Arial" w:hAnsi="Arial" w:cs="Arial"/>
          <w:color w:val="000000" w:themeColor="text1"/>
          <w:sz w:val="20"/>
        </w:rPr>
        <w:t>62 per cento (il 43 per cento nell’ottobre-dicembre 2021)</w:t>
      </w:r>
      <w:r w:rsidR="001E72A3" w:rsidRPr="002E4AEA">
        <w:rPr>
          <w:rFonts w:ascii="Arial" w:hAnsi="Arial" w:cs="Arial"/>
          <w:color w:val="000000" w:themeColor="text1"/>
          <w:sz w:val="20"/>
        </w:rPr>
        <w:t>.</w:t>
      </w:r>
      <w:r w:rsidR="000A33AA" w:rsidRPr="002E4AEA">
        <w:rPr>
          <w:rFonts w:ascii="Arial" w:hAnsi="Arial" w:cs="Arial"/>
          <w:color w:val="000000" w:themeColor="text1"/>
          <w:sz w:val="20"/>
        </w:rPr>
        <w:t xml:space="preserve"> </w:t>
      </w:r>
      <w:r w:rsidR="00B0713B" w:rsidRPr="002E4AEA">
        <w:rPr>
          <w:rFonts w:ascii="Arial" w:hAnsi="Arial" w:cs="Arial"/>
          <w:b/>
          <w:color w:val="000000" w:themeColor="text1"/>
          <w:sz w:val="20"/>
        </w:rPr>
        <w:t>Giacenze</w:t>
      </w:r>
      <w:r w:rsidR="000A33AA" w:rsidRPr="002E4AEA">
        <w:rPr>
          <w:rFonts w:ascii="Arial" w:hAnsi="Arial" w:cs="Arial"/>
          <w:color w:val="000000" w:themeColor="text1"/>
          <w:sz w:val="20"/>
        </w:rPr>
        <w:t xml:space="preserve"> stabili per il </w:t>
      </w:r>
      <w:r w:rsidR="00BF2A54" w:rsidRPr="002E4AEA">
        <w:rPr>
          <w:rFonts w:ascii="Arial" w:hAnsi="Arial" w:cs="Arial"/>
          <w:color w:val="000000" w:themeColor="text1"/>
          <w:sz w:val="20"/>
        </w:rPr>
        <w:t>33</w:t>
      </w:r>
      <w:r w:rsidR="000A33AA" w:rsidRPr="002E4AEA">
        <w:rPr>
          <w:rFonts w:ascii="Arial" w:hAnsi="Arial" w:cs="Arial"/>
          <w:color w:val="000000" w:themeColor="text1"/>
          <w:sz w:val="20"/>
        </w:rPr>
        <w:t xml:space="preserve"> per cento degli intervistati, in aumento per il </w:t>
      </w:r>
      <w:r w:rsidR="00BF2A54" w:rsidRPr="002E4AEA">
        <w:rPr>
          <w:rFonts w:ascii="Arial" w:hAnsi="Arial" w:cs="Arial"/>
          <w:color w:val="000000" w:themeColor="text1"/>
          <w:sz w:val="20"/>
        </w:rPr>
        <w:t>48</w:t>
      </w:r>
      <w:r w:rsidR="000A33AA" w:rsidRPr="002E4AEA">
        <w:rPr>
          <w:rFonts w:ascii="Arial" w:hAnsi="Arial" w:cs="Arial"/>
          <w:color w:val="000000" w:themeColor="text1"/>
          <w:sz w:val="20"/>
        </w:rPr>
        <w:t xml:space="preserve"> per cento, in diminuzione per il </w:t>
      </w:r>
      <w:r w:rsidR="00BF2A54" w:rsidRPr="002E4AEA">
        <w:rPr>
          <w:rFonts w:ascii="Arial" w:hAnsi="Arial" w:cs="Arial"/>
          <w:color w:val="000000" w:themeColor="text1"/>
          <w:sz w:val="20"/>
        </w:rPr>
        <w:t>19</w:t>
      </w:r>
      <w:r w:rsidR="000A33AA" w:rsidRPr="002E4AEA">
        <w:rPr>
          <w:rFonts w:ascii="Arial" w:hAnsi="Arial" w:cs="Arial"/>
          <w:color w:val="000000" w:themeColor="text1"/>
          <w:sz w:val="20"/>
        </w:rPr>
        <w:t xml:space="preserve"> per cento.</w:t>
      </w:r>
    </w:p>
    <w:p w14:paraId="6111A8FD" w14:textId="77777777" w:rsidR="001F0D52" w:rsidRPr="002E4AEA" w:rsidRDefault="001F0D52" w:rsidP="00B0713B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</w:p>
    <w:p w14:paraId="562B53A2" w14:textId="152A6A5D" w:rsidR="004E64E2" w:rsidRPr="002C0A71" w:rsidRDefault="00BF2A54" w:rsidP="002C0A71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  <w:r w:rsidRPr="002E4AEA">
        <w:rPr>
          <w:rFonts w:ascii="Arial" w:hAnsi="Arial" w:cs="Arial"/>
          <w:color w:val="000000"/>
          <w:sz w:val="20"/>
        </w:rPr>
        <w:t xml:space="preserve">Un minore ottimismo rispetto al recente passato è il dato che emerge dalla </w:t>
      </w:r>
      <w:r w:rsidR="001F0D52" w:rsidRPr="002E4AEA">
        <w:rPr>
          <w:rFonts w:ascii="Arial" w:hAnsi="Arial" w:cs="Arial"/>
          <w:b/>
          <w:color w:val="000000"/>
          <w:sz w:val="20"/>
        </w:rPr>
        <w:t xml:space="preserve">indagine </w:t>
      </w:r>
      <w:r w:rsidR="002C0A71" w:rsidRPr="002E4AEA">
        <w:rPr>
          <w:rFonts w:ascii="Arial" w:hAnsi="Arial" w:cs="Arial"/>
          <w:b/>
          <w:color w:val="000000"/>
          <w:sz w:val="20"/>
        </w:rPr>
        <w:t>previsionale</w:t>
      </w:r>
      <w:r w:rsidR="003C234E" w:rsidRPr="002E4AEA">
        <w:rPr>
          <w:rFonts w:ascii="Arial" w:hAnsi="Arial" w:cs="Arial"/>
          <w:bCs/>
          <w:color w:val="000000"/>
          <w:sz w:val="20"/>
        </w:rPr>
        <w:t>:</w:t>
      </w:r>
      <w:r w:rsidR="002E4AEA" w:rsidRPr="002E4AEA">
        <w:rPr>
          <w:rFonts w:ascii="Arial" w:hAnsi="Arial" w:cs="Arial"/>
          <w:color w:val="000000"/>
          <w:sz w:val="20"/>
        </w:rPr>
        <w:t xml:space="preserve"> </w:t>
      </w:r>
      <w:r w:rsidR="009D300B" w:rsidRPr="002E4AEA">
        <w:rPr>
          <w:rFonts w:ascii="Arial" w:hAnsi="Arial" w:cs="Arial"/>
          <w:color w:val="000000"/>
          <w:sz w:val="20"/>
        </w:rPr>
        <w:t xml:space="preserve">per il </w:t>
      </w:r>
      <w:r w:rsidR="009D300B" w:rsidRPr="002E4AEA">
        <w:rPr>
          <w:rFonts w:ascii="Arial" w:hAnsi="Arial" w:cs="Arial"/>
          <w:b/>
          <w:color w:val="000000"/>
          <w:sz w:val="20"/>
        </w:rPr>
        <w:t>mercato estero</w:t>
      </w:r>
      <w:r w:rsidR="000A33AA" w:rsidRPr="002E4AEA">
        <w:rPr>
          <w:rFonts w:ascii="Arial" w:hAnsi="Arial" w:cs="Arial"/>
          <w:color w:val="000000"/>
          <w:sz w:val="20"/>
        </w:rPr>
        <w:t xml:space="preserve"> </w:t>
      </w:r>
      <w:r w:rsidR="002C0A71" w:rsidRPr="002E4AEA">
        <w:rPr>
          <w:rFonts w:ascii="Arial" w:hAnsi="Arial" w:cs="Arial"/>
          <w:color w:val="000000"/>
          <w:sz w:val="20"/>
        </w:rPr>
        <w:t xml:space="preserve">il 48 per cento del campione prevede una stagione </w:t>
      </w:r>
      <w:proofErr w:type="gramStart"/>
      <w:r w:rsidR="002C0A71" w:rsidRPr="002E4AEA">
        <w:rPr>
          <w:rFonts w:ascii="Arial" w:hAnsi="Arial" w:cs="Arial"/>
          <w:color w:val="000000"/>
          <w:sz w:val="20"/>
        </w:rPr>
        <w:t xml:space="preserve">improntata </w:t>
      </w:r>
      <w:r w:rsidR="000A33AA" w:rsidRPr="002E4AEA">
        <w:rPr>
          <w:rFonts w:ascii="Arial" w:hAnsi="Arial" w:cs="Arial"/>
          <w:color w:val="000000"/>
          <w:sz w:val="20"/>
        </w:rPr>
        <w:t xml:space="preserve"> alla</w:t>
      </w:r>
      <w:proofErr w:type="gramEnd"/>
      <w:r w:rsidR="000A33AA" w:rsidRPr="002E4AEA">
        <w:rPr>
          <w:rFonts w:ascii="Arial" w:hAnsi="Arial" w:cs="Arial"/>
          <w:color w:val="000000"/>
          <w:sz w:val="20"/>
        </w:rPr>
        <w:t xml:space="preserve"> stabilità (</w:t>
      </w:r>
      <w:r w:rsidR="002C0A71" w:rsidRPr="002E4AEA">
        <w:rPr>
          <w:rFonts w:ascii="Arial" w:hAnsi="Arial" w:cs="Arial"/>
          <w:color w:val="000000"/>
          <w:sz w:val="20"/>
        </w:rPr>
        <w:t xml:space="preserve">era il </w:t>
      </w:r>
      <w:r w:rsidR="000A33AA" w:rsidRPr="002E4AEA">
        <w:rPr>
          <w:rFonts w:ascii="Arial" w:hAnsi="Arial" w:cs="Arial"/>
          <w:color w:val="000000"/>
          <w:sz w:val="20"/>
        </w:rPr>
        <w:t xml:space="preserve">76 per cento </w:t>
      </w:r>
      <w:r w:rsidR="002C0A71" w:rsidRPr="002E4AEA">
        <w:rPr>
          <w:rFonts w:ascii="Arial" w:hAnsi="Arial" w:cs="Arial"/>
          <w:color w:val="000000"/>
          <w:sz w:val="20"/>
        </w:rPr>
        <w:t>il trimestre precedente</w:t>
      </w:r>
      <w:r w:rsidR="000A33AA" w:rsidRPr="002E4AEA">
        <w:rPr>
          <w:rFonts w:ascii="Arial" w:hAnsi="Arial" w:cs="Arial"/>
          <w:color w:val="000000"/>
          <w:sz w:val="20"/>
        </w:rPr>
        <w:t>),</w:t>
      </w:r>
      <w:r w:rsidR="002E4AEA" w:rsidRPr="002E4AEA">
        <w:rPr>
          <w:rFonts w:ascii="Arial" w:hAnsi="Arial" w:cs="Arial"/>
          <w:color w:val="000000"/>
          <w:sz w:val="20"/>
        </w:rPr>
        <w:t xml:space="preserve"> </w:t>
      </w:r>
      <w:r w:rsidR="002C0A71" w:rsidRPr="002E4AEA">
        <w:rPr>
          <w:rFonts w:ascii="Arial" w:hAnsi="Arial" w:cs="Arial"/>
          <w:color w:val="000000"/>
          <w:sz w:val="20"/>
        </w:rPr>
        <w:t>il 33 per cento immagina una ulteriore crescita (</w:t>
      </w:r>
      <w:r w:rsidR="000A33AA" w:rsidRPr="002E4AEA">
        <w:rPr>
          <w:rFonts w:ascii="Arial" w:hAnsi="Arial" w:cs="Arial"/>
          <w:color w:val="000000"/>
          <w:sz w:val="20"/>
        </w:rPr>
        <w:t>24 per cento</w:t>
      </w:r>
      <w:r w:rsidR="002C0A71" w:rsidRPr="002E4AEA">
        <w:rPr>
          <w:rFonts w:ascii="Arial" w:hAnsi="Arial" w:cs="Arial"/>
          <w:color w:val="000000"/>
          <w:sz w:val="20"/>
        </w:rPr>
        <w:t xml:space="preserve">), mentre il 19 per cento si attende una contrazione. </w:t>
      </w:r>
      <w:r w:rsidR="000A33AA" w:rsidRPr="002E4AEA">
        <w:rPr>
          <w:rFonts w:ascii="Arial" w:hAnsi="Arial" w:cs="Arial"/>
          <w:color w:val="000000"/>
          <w:sz w:val="20"/>
        </w:rPr>
        <w:t xml:space="preserve">Il </w:t>
      </w:r>
      <w:r w:rsidR="000A33AA" w:rsidRPr="002E4AEA">
        <w:rPr>
          <w:rFonts w:ascii="Arial" w:hAnsi="Arial" w:cs="Arial"/>
          <w:b/>
          <w:color w:val="000000"/>
          <w:sz w:val="20"/>
        </w:rPr>
        <w:t>mercato interno</w:t>
      </w:r>
      <w:r w:rsidR="000A33AA" w:rsidRPr="002E4AEA">
        <w:rPr>
          <w:rFonts w:ascii="Arial" w:hAnsi="Arial" w:cs="Arial"/>
          <w:color w:val="000000"/>
          <w:sz w:val="20"/>
        </w:rPr>
        <w:t xml:space="preserve"> rimarrà sui livelli attuali secondo il </w:t>
      </w:r>
      <w:r w:rsidR="002C0A71" w:rsidRPr="002E4AEA">
        <w:rPr>
          <w:rFonts w:ascii="Arial" w:hAnsi="Arial" w:cs="Arial"/>
          <w:color w:val="000000"/>
          <w:sz w:val="20"/>
        </w:rPr>
        <w:t xml:space="preserve">43 per cento degli intervistati (il </w:t>
      </w:r>
      <w:r w:rsidR="000A33AA" w:rsidRPr="002E4AEA">
        <w:rPr>
          <w:rFonts w:ascii="Arial" w:hAnsi="Arial" w:cs="Arial"/>
          <w:color w:val="000000"/>
          <w:sz w:val="20"/>
        </w:rPr>
        <w:t xml:space="preserve">66 per cento </w:t>
      </w:r>
      <w:r w:rsidR="002C0A71" w:rsidRPr="002E4AEA">
        <w:rPr>
          <w:rFonts w:ascii="Arial" w:hAnsi="Arial" w:cs="Arial"/>
          <w:color w:val="000000"/>
          <w:sz w:val="20"/>
        </w:rPr>
        <w:t>nella precedente rilevazione)</w:t>
      </w:r>
      <w:r w:rsidR="000A33AA" w:rsidRPr="002E4AEA">
        <w:rPr>
          <w:rFonts w:ascii="Arial" w:hAnsi="Arial" w:cs="Arial"/>
          <w:color w:val="000000"/>
          <w:sz w:val="20"/>
        </w:rPr>
        <w:t xml:space="preserve">, continuerà a crescere per il </w:t>
      </w:r>
      <w:r w:rsidR="003C234E" w:rsidRPr="002E4AEA">
        <w:rPr>
          <w:rFonts w:ascii="Arial" w:hAnsi="Arial" w:cs="Arial"/>
          <w:color w:val="000000"/>
          <w:sz w:val="20"/>
        </w:rPr>
        <w:t xml:space="preserve">33 </w:t>
      </w:r>
      <w:r w:rsidR="000A33AA" w:rsidRPr="002E4AEA">
        <w:rPr>
          <w:rFonts w:ascii="Arial" w:hAnsi="Arial" w:cs="Arial"/>
          <w:color w:val="000000"/>
          <w:sz w:val="20"/>
        </w:rPr>
        <w:t>per cento</w:t>
      </w:r>
      <w:r w:rsidR="002C0A71" w:rsidRPr="002E4AEA">
        <w:rPr>
          <w:rFonts w:ascii="Arial" w:hAnsi="Arial" w:cs="Arial"/>
          <w:color w:val="000000"/>
          <w:sz w:val="20"/>
        </w:rPr>
        <w:t xml:space="preserve"> (</w:t>
      </w:r>
      <w:r w:rsidR="003C234E" w:rsidRPr="002E4AEA">
        <w:rPr>
          <w:rFonts w:ascii="Arial" w:hAnsi="Arial" w:cs="Arial"/>
          <w:color w:val="000000"/>
          <w:sz w:val="20"/>
        </w:rPr>
        <w:t xml:space="preserve">29 </w:t>
      </w:r>
      <w:r w:rsidR="002C0A71" w:rsidRPr="002E4AEA">
        <w:rPr>
          <w:rFonts w:ascii="Arial" w:hAnsi="Arial" w:cs="Arial"/>
          <w:color w:val="000000"/>
          <w:sz w:val="20"/>
        </w:rPr>
        <w:t>per cento nell’ultimo trimestre 2021)</w:t>
      </w:r>
      <w:r w:rsidR="000A33AA" w:rsidRPr="002E4AEA">
        <w:rPr>
          <w:rFonts w:ascii="Arial" w:hAnsi="Arial" w:cs="Arial"/>
          <w:color w:val="000000"/>
          <w:sz w:val="20"/>
        </w:rPr>
        <w:t xml:space="preserve">, </w:t>
      </w:r>
      <w:r w:rsidR="002C0A71" w:rsidRPr="002E4AEA">
        <w:rPr>
          <w:rFonts w:ascii="Arial" w:hAnsi="Arial" w:cs="Arial"/>
          <w:color w:val="000000"/>
          <w:sz w:val="20"/>
        </w:rPr>
        <w:t>in diminuzione per il restante 24 per cento (</w:t>
      </w:r>
      <w:r w:rsidR="000A33AA" w:rsidRPr="002E4AEA">
        <w:rPr>
          <w:rFonts w:ascii="Arial" w:hAnsi="Arial" w:cs="Arial"/>
          <w:color w:val="000000"/>
          <w:sz w:val="20"/>
        </w:rPr>
        <w:t>5 per cento</w:t>
      </w:r>
      <w:r w:rsidR="002C0A71" w:rsidRPr="002E4AEA">
        <w:rPr>
          <w:rFonts w:ascii="Arial" w:hAnsi="Arial" w:cs="Arial"/>
          <w:color w:val="000000"/>
          <w:sz w:val="20"/>
        </w:rPr>
        <w:t xml:space="preserve"> nell’ottobre-dicembre 2021)</w:t>
      </w:r>
      <w:r w:rsidR="000A33AA" w:rsidRPr="002E4AEA">
        <w:rPr>
          <w:rFonts w:ascii="Arial" w:hAnsi="Arial" w:cs="Arial"/>
          <w:color w:val="000000"/>
          <w:sz w:val="20"/>
        </w:rPr>
        <w:t>.</w:t>
      </w:r>
      <w:r w:rsidR="000A33AA" w:rsidRPr="002C0A71">
        <w:rPr>
          <w:rFonts w:ascii="Arial" w:hAnsi="Arial" w:cs="Arial"/>
          <w:color w:val="000000"/>
          <w:sz w:val="20"/>
        </w:rPr>
        <w:t xml:space="preserve"> </w:t>
      </w:r>
    </w:p>
    <w:p w14:paraId="2D3E3133" w14:textId="33601645" w:rsidR="00C91D54" w:rsidRPr="000A33AA" w:rsidRDefault="00C91D54" w:rsidP="000A33AA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05BA744A" w14:textId="77777777" w:rsidR="001670C8" w:rsidRPr="00E65415" w:rsidRDefault="001670C8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6BDCCF7E" w14:textId="77777777" w:rsidR="00840088" w:rsidRPr="00E65415" w:rsidRDefault="00840088" w:rsidP="00840088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color w:val="000000" w:themeColor="text1"/>
          <w:sz w:val="20"/>
        </w:rPr>
      </w:pPr>
      <w:r w:rsidRPr="00E65415">
        <w:rPr>
          <w:rFonts w:ascii="Arial" w:hAnsi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E65415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color w:val="000000" w:themeColor="text1"/>
          <w:sz w:val="20"/>
        </w:rPr>
      </w:pPr>
      <w:r w:rsidRPr="00E65415">
        <w:rPr>
          <w:rFonts w:ascii="Arial" w:hAnsi="Arial"/>
          <w:b/>
          <w:color w:val="000000" w:themeColor="text1"/>
          <w:sz w:val="20"/>
        </w:rPr>
        <w:t>Luca Rossetti</w:t>
      </w:r>
    </w:p>
    <w:p w14:paraId="3FFC3468" w14:textId="39BB1248" w:rsidR="00AF50EF" w:rsidRPr="00B33B48" w:rsidRDefault="00840088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  <w:r w:rsidRPr="00E65415">
        <w:rPr>
          <w:rFonts w:ascii="Arial" w:hAnsi="Arial"/>
          <w:color w:val="000000" w:themeColor="text1"/>
          <w:sz w:val="20"/>
        </w:rPr>
        <w:t>+39 3</w:t>
      </w:r>
      <w:r w:rsidR="0068221D">
        <w:rPr>
          <w:rFonts w:ascii="Arial" w:hAnsi="Arial"/>
          <w:color w:val="000000" w:themeColor="text1"/>
          <w:sz w:val="20"/>
        </w:rPr>
        <w:t>51</w:t>
      </w:r>
      <w:r w:rsidRPr="00E65415">
        <w:rPr>
          <w:rFonts w:ascii="Arial" w:hAnsi="Arial"/>
          <w:color w:val="000000" w:themeColor="text1"/>
          <w:sz w:val="20"/>
        </w:rPr>
        <w:t xml:space="preserve"> </w:t>
      </w:r>
      <w:r w:rsidR="0068221D">
        <w:rPr>
          <w:rFonts w:ascii="Arial" w:hAnsi="Arial"/>
          <w:color w:val="000000" w:themeColor="text1"/>
          <w:sz w:val="20"/>
        </w:rPr>
        <w:t>9098189</w:t>
      </w:r>
      <w:r w:rsidRPr="00E65415">
        <w:rPr>
          <w:rFonts w:ascii="Arial" w:hAnsi="Arial"/>
          <w:color w:val="000000" w:themeColor="text1"/>
          <w:sz w:val="20"/>
        </w:rPr>
        <w:t xml:space="preserve"> - </w:t>
      </w:r>
      <w:hyperlink r:id="rId8" w:history="1">
        <w:r w:rsidRPr="00814730">
          <w:rPr>
            <w:rStyle w:val="Collegamentoipertestuale"/>
            <w:rFonts w:ascii="Arial" w:hAnsi="Arial"/>
            <w:color w:val="000000" w:themeColor="text1"/>
            <w:sz w:val="20"/>
            <w:u w:val="none"/>
          </w:rPr>
          <w:t>press@acimall.com</w:t>
        </w:r>
      </w:hyperlink>
    </w:p>
    <w:sectPr w:rsidR="00AF50EF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A584" w14:textId="77777777" w:rsidR="001046E2" w:rsidRDefault="001046E2">
      <w:r>
        <w:separator/>
      </w:r>
    </w:p>
  </w:endnote>
  <w:endnote w:type="continuationSeparator" w:id="0">
    <w:p w14:paraId="7D280E96" w14:textId="77777777" w:rsidR="001046E2" w:rsidRDefault="0010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5BF6" w14:textId="77777777" w:rsidR="00C521D8" w:rsidRDefault="00C521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C521D8" w:rsidRDefault="00C521D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DE1" w14:textId="77777777" w:rsidR="00C521D8" w:rsidRDefault="00C521D8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C521D8" w:rsidRDefault="00C521D8">
    <w:pPr>
      <w:pStyle w:val="Pidipagina"/>
      <w:ind w:right="360"/>
    </w:pPr>
    <w:r>
      <w:t xml:space="preserve">   </w:t>
    </w:r>
  </w:p>
  <w:p w14:paraId="676EE327" w14:textId="196C1161" w:rsidR="00C521D8" w:rsidRDefault="00C521D8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D6" w14:textId="77777777" w:rsidR="00C521D8" w:rsidRDefault="00C521D8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4B9E" w14:textId="77777777" w:rsidR="001046E2" w:rsidRDefault="001046E2">
      <w:r>
        <w:separator/>
      </w:r>
    </w:p>
  </w:footnote>
  <w:footnote w:type="continuationSeparator" w:id="0">
    <w:p w14:paraId="0E419F53" w14:textId="77777777" w:rsidR="001046E2" w:rsidRDefault="0010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E48" w14:textId="6DC56FCB" w:rsidR="00C521D8" w:rsidRDefault="00C521D8">
    <w:pPr>
      <w:pStyle w:val="Intestazione"/>
      <w:ind w:left="360"/>
    </w:pPr>
  </w:p>
  <w:p w14:paraId="302658E1" w14:textId="77777777" w:rsidR="00C521D8" w:rsidRDefault="00C521D8">
    <w:pPr>
      <w:pStyle w:val="Intestazione"/>
      <w:ind w:left="360"/>
    </w:pPr>
  </w:p>
  <w:p w14:paraId="4A2C7678" w14:textId="77777777" w:rsidR="00C521D8" w:rsidRDefault="00C521D8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4B7" w14:textId="39D9834C" w:rsidR="00C521D8" w:rsidRDefault="00C521D8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513783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169563925">
    <w:abstractNumId w:val="2"/>
  </w:num>
  <w:num w:numId="3" w16cid:durableId="136401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42BE5"/>
    <w:rsid w:val="00087FD9"/>
    <w:rsid w:val="00094668"/>
    <w:rsid w:val="00095C56"/>
    <w:rsid w:val="000A33AA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6E2"/>
    <w:rsid w:val="00104F31"/>
    <w:rsid w:val="001258BE"/>
    <w:rsid w:val="00130D7E"/>
    <w:rsid w:val="00140D22"/>
    <w:rsid w:val="00142024"/>
    <w:rsid w:val="001670C8"/>
    <w:rsid w:val="001702AD"/>
    <w:rsid w:val="0017075B"/>
    <w:rsid w:val="001726D5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86B70"/>
    <w:rsid w:val="00291DE3"/>
    <w:rsid w:val="00294EDD"/>
    <w:rsid w:val="002A753A"/>
    <w:rsid w:val="002C0A71"/>
    <w:rsid w:val="002E4AEA"/>
    <w:rsid w:val="002F11D9"/>
    <w:rsid w:val="002F2037"/>
    <w:rsid w:val="002F5769"/>
    <w:rsid w:val="00304533"/>
    <w:rsid w:val="00305B4C"/>
    <w:rsid w:val="00307139"/>
    <w:rsid w:val="00313979"/>
    <w:rsid w:val="00326C06"/>
    <w:rsid w:val="00337870"/>
    <w:rsid w:val="0034316E"/>
    <w:rsid w:val="00345D05"/>
    <w:rsid w:val="00365C65"/>
    <w:rsid w:val="00366693"/>
    <w:rsid w:val="00366E20"/>
    <w:rsid w:val="00381921"/>
    <w:rsid w:val="003838AD"/>
    <w:rsid w:val="003A73F0"/>
    <w:rsid w:val="003B059D"/>
    <w:rsid w:val="003B109F"/>
    <w:rsid w:val="003C234E"/>
    <w:rsid w:val="003D3CCC"/>
    <w:rsid w:val="003D5336"/>
    <w:rsid w:val="003F1E14"/>
    <w:rsid w:val="003F371B"/>
    <w:rsid w:val="003F7FC6"/>
    <w:rsid w:val="0040219C"/>
    <w:rsid w:val="0040679A"/>
    <w:rsid w:val="00406AB7"/>
    <w:rsid w:val="00416C21"/>
    <w:rsid w:val="00434C7E"/>
    <w:rsid w:val="00440FDD"/>
    <w:rsid w:val="00444FEE"/>
    <w:rsid w:val="004525E1"/>
    <w:rsid w:val="004559D3"/>
    <w:rsid w:val="00463561"/>
    <w:rsid w:val="00471328"/>
    <w:rsid w:val="004720FA"/>
    <w:rsid w:val="004B203B"/>
    <w:rsid w:val="004B3B06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4C94"/>
    <w:rsid w:val="005D6503"/>
    <w:rsid w:val="005D6F46"/>
    <w:rsid w:val="005D7B5B"/>
    <w:rsid w:val="005E5302"/>
    <w:rsid w:val="005F5DB2"/>
    <w:rsid w:val="00617F20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6E2477"/>
    <w:rsid w:val="00705D68"/>
    <w:rsid w:val="007122E6"/>
    <w:rsid w:val="00724BEA"/>
    <w:rsid w:val="00736007"/>
    <w:rsid w:val="007443A2"/>
    <w:rsid w:val="00760EDC"/>
    <w:rsid w:val="007611D0"/>
    <w:rsid w:val="00773075"/>
    <w:rsid w:val="00786BB1"/>
    <w:rsid w:val="007A6D51"/>
    <w:rsid w:val="007B2DBD"/>
    <w:rsid w:val="007B3109"/>
    <w:rsid w:val="007B4E57"/>
    <w:rsid w:val="007B72D5"/>
    <w:rsid w:val="007D28CA"/>
    <w:rsid w:val="007E06BB"/>
    <w:rsid w:val="007E5480"/>
    <w:rsid w:val="00800F6A"/>
    <w:rsid w:val="0080513A"/>
    <w:rsid w:val="00807D67"/>
    <w:rsid w:val="00814730"/>
    <w:rsid w:val="00840088"/>
    <w:rsid w:val="00840B4A"/>
    <w:rsid w:val="008469CA"/>
    <w:rsid w:val="00865C7A"/>
    <w:rsid w:val="0087060B"/>
    <w:rsid w:val="008850FB"/>
    <w:rsid w:val="00891675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D3C"/>
    <w:rsid w:val="00975B1A"/>
    <w:rsid w:val="0097719C"/>
    <w:rsid w:val="00985C7E"/>
    <w:rsid w:val="00990459"/>
    <w:rsid w:val="00991CBC"/>
    <w:rsid w:val="00993D0D"/>
    <w:rsid w:val="009C5B81"/>
    <w:rsid w:val="009C6F87"/>
    <w:rsid w:val="009D300B"/>
    <w:rsid w:val="009E5E5C"/>
    <w:rsid w:val="00A018A0"/>
    <w:rsid w:val="00A029E7"/>
    <w:rsid w:val="00A108DB"/>
    <w:rsid w:val="00A24050"/>
    <w:rsid w:val="00A24489"/>
    <w:rsid w:val="00A2581D"/>
    <w:rsid w:val="00A60694"/>
    <w:rsid w:val="00A76779"/>
    <w:rsid w:val="00A86E2C"/>
    <w:rsid w:val="00AB77FB"/>
    <w:rsid w:val="00AE1B9E"/>
    <w:rsid w:val="00AE51EF"/>
    <w:rsid w:val="00AE5435"/>
    <w:rsid w:val="00AF50EF"/>
    <w:rsid w:val="00B024BA"/>
    <w:rsid w:val="00B0713B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389D"/>
    <w:rsid w:val="00B9584F"/>
    <w:rsid w:val="00BC3417"/>
    <w:rsid w:val="00BC547E"/>
    <w:rsid w:val="00BD40BD"/>
    <w:rsid w:val="00BD4D44"/>
    <w:rsid w:val="00BD4E9A"/>
    <w:rsid w:val="00BE0218"/>
    <w:rsid w:val="00BE28BC"/>
    <w:rsid w:val="00BF2118"/>
    <w:rsid w:val="00BF2A54"/>
    <w:rsid w:val="00BF35BC"/>
    <w:rsid w:val="00C04852"/>
    <w:rsid w:val="00C07008"/>
    <w:rsid w:val="00C10DE6"/>
    <w:rsid w:val="00C12950"/>
    <w:rsid w:val="00C41993"/>
    <w:rsid w:val="00C435AF"/>
    <w:rsid w:val="00C441DA"/>
    <w:rsid w:val="00C521D8"/>
    <w:rsid w:val="00C54EF3"/>
    <w:rsid w:val="00C55169"/>
    <w:rsid w:val="00C60722"/>
    <w:rsid w:val="00C639FC"/>
    <w:rsid w:val="00C91D54"/>
    <w:rsid w:val="00C96A6C"/>
    <w:rsid w:val="00CB70B1"/>
    <w:rsid w:val="00CE4D8E"/>
    <w:rsid w:val="00CE6324"/>
    <w:rsid w:val="00CE7C6D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B7438"/>
    <w:rsid w:val="00DC53CF"/>
    <w:rsid w:val="00DD038E"/>
    <w:rsid w:val="00DE3BC7"/>
    <w:rsid w:val="00DE3DFA"/>
    <w:rsid w:val="00DF04E3"/>
    <w:rsid w:val="00E04E31"/>
    <w:rsid w:val="00E07556"/>
    <w:rsid w:val="00E12D44"/>
    <w:rsid w:val="00E2671D"/>
    <w:rsid w:val="00E26F68"/>
    <w:rsid w:val="00E27085"/>
    <w:rsid w:val="00E6024D"/>
    <w:rsid w:val="00E60591"/>
    <w:rsid w:val="00E65415"/>
    <w:rsid w:val="00E655B9"/>
    <w:rsid w:val="00E66C6E"/>
    <w:rsid w:val="00EA05AD"/>
    <w:rsid w:val="00ED118D"/>
    <w:rsid w:val="00EF3187"/>
    <w:rsid w:val="00F00863"/>
    <w:rsid w:val="00F01932"/>
    <w:rsid w:val="00F15D95"/>
    <w:rsid w:val="00F259BE"/>
    <w:rsid w:val="00F30178"/>
    <w:rsid w:val="00F3539D"/>
    <w:rsid w:val="00F379D8"/>
    <w:rsid w:val="00F64584"/>
    <w:rsid w:val="00F76DF4"/>
    <w:rsid w:val="00FB5D0B"/>
    <w:rsid w:val="00FD043C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3EE3F259-B568-42EB-93FF-1B5557AE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3713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2022-05-24T11:09:00Z</cp:lastPrinted>
  <dcterms:created xsi:type="dcterms:W3CDTF">2022-05-31T10:11:00Z</dcterms:created>
  <dcterms:modified xsi:type="dcterms:W3CDTF">2022-05-31T10:11:00Z</dcterms:modified>
</cp:coreProperties>
</file>