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4006D47A" w14:textId="77777777" w:rsidTr="00A029E7">
        <w:trPr>
          <w:trHeight w:val="540"/>
        </w:trPr>
        <w:tc>
          <w:tcPr>
            <w:tcW w:w="3184" w:type="dxa"/>
          </w:tcPr>
          <w:p w14:paraId="4A7DB992" w14:textId="6A1F3136" w:rsidR="00C12950" w:rsidRPr="00597D37" w:rsidRDefault="00A029E7" w:rsidP="00F00EE7">
            <w:pPr>
              <w:tabs>
                <w:tab w:val="left" w:pos="-430"/>
                <w:tab w:val="left" w:pos="426"/>
              </w:tabs>
              <w:ind w:left="-4" w:right="212"/>
              <w:jc w:val="both"/>
              <w:rPr>
                <w:lang w:val="en-GB"/>
              </w:rPr>
            </w:pPr>
            <w:r>
              <w:rPr>
                <w:noProof/>
              </w:rPr>
              <w:drawing>
                <wp:inline distT="0" distB="0" distL="0" distR="0" wp14:anchorId="1E05D070" wp14:editId="7BBC2007">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5444F25A" w14:textId="77777777" w:rsidR="00C12950" w:rsidRDefault="00C12950" w:rsidP="00F00EE7">
            <w:pPr>
              <w:pStyle w:val="Titolo1"/>
              <w:tabs>
                <w:tab w:val="left" w:pos="426"/>
              </w:tabs>
              <w:ind w:right="212"/>
              <w:jc w:val="both"/>
              <w:rPr>
                <w:sz w:val="18"/>
              </w:rPr>
            </w:pPr>
            <w:r>
              <w:rPr>
                <w:sz w:val="18"/>
              </w:rPr>
              <w:t>Acimall</w:t>
            </w:r>
          </w:p>
          <w:p w14:paraId="74123824" w14:textId="77777777" w:rsidR="00C12950" w:rsidRDefault="00C12950" w:rsidP="00F00EE7">
            <w:pPr>
              <w:tabs>
                <w:tab w:val="left" w:pos="426"/>
              </w:tabs>
              <w:ind w:right="212"/>
              <w:jc w:val="both"/>
              <w:rPr>
                <w:rFonts w:ascii="Helvetica" w:hAnsi="Helvetica"/>
                <w:sz w:val="16"/>
              </w:rPr>
            </w:pPr>
            <w:r>
              <w:rPr>
                <w:rFonts w:ascii="Helvetica" w:hAnsi="Helvetica"/>
                <w:sz w:val="16"/>
              </w:rPr>
              <w:t>Centro Direzionale Milanofiori</w:t>
            </w:r>
          </w:p>
          <w:p w14:paraId="7A00A7EC" w14:textId="77777777" w:rsidR="00C12950" w:rsidRDefault="00C12950" w:rsidP="00F00EE7">
            <w:pPr>
              <w:tabs>
                <w:tab w:val="left" w:pos="426"/>
              </w:tabs>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063709D7" w14:textId="57C3C08B" w:rsidR="00C12950" w:rsidRDefault="00C313DA" w:rsidP="00F00EE7">
            <w:pPr>
              <w:tabs>
                <w:tab w:val="left" w:pos="426"/>
              </w:tabs>
              <w:ind w:right="212"/>
              <w:jc w:val="both"/>
              <w:rPr>
                <w:rFonts w:ascii="Helvetica" w:hAnsi="Helvetica"/>
                <w:sz w:val="16"/>
              </w:rPr>
            </w:pPr>
            <w:r>
              <w:rPr>
                <w:rFonts w:ascii="Helvetica" w:hAnsi="Helvetica"/>
                <w:sz w:val="16"/>
              </w:rPr>
              <w:t>I-20057</w:t>
            </w:r>
            <w:r w:rsidR="00C12950">
              <w:rPr>
                <w:rFonts w:ascii="Helvetica" w:hAnsi="Helvetica"/>
                <w:sz w:val="16"/>
              </w:rPr>
              <w:t xml:space="preserve"> Assago (Milano)</w:t>
            </w:r>
          </w:p>
          <w:p w14:paraId="08812F63" w14:textId="77777777" w:rsidR="00C12950" w:rsidRDefault="00C12950" w:rsidP="00F00EE7">
            <w:pPr>
              <w:tabs>
                <w:tab w:val="left" w:pos="426"/>
              </w:tabs>
              <w:ind w:right="212"/>
              <w:jc w:val="both"/>
              <w:rPr>
                <w:rFonts w:ascii="Helvetica" w:hAnsi="Helvetica"/>
                <w:sz w:val="16"/>
              </w:rPr>
            </w:pPr>
            <w:r>
              <w:rPr>
                <w:rFonts w:ascii="Helvetica" w:hAnsi="Helvetica"/>
                <w:sz w:val="16"/>
              </w:rPr>
              <w:t>phone +39 02 89210200</w:t>
            </w:r>
          </w:p>
          <w:p w14:paraId="5F0397DE" w14:textId="77777777" w:rsidR="00C12950" w:rsidRDefault="00C12950" w:rsidP="00F00EE7">
            <w:pPr>
              <w:tabs>
                <w:tab w:val="left" w:pos="426"/>
              </w:tabs>
              <w:ind w:right="212"/>
              <w:jc w:val="both"/>
              <w:rPr>
                <w:rFonts w:ascii="Helvetica" w:hAnsi="Helvetica"/>
                <w:sz w:val="16"/>
              </w:rPr>
            </w:pPr>
            <w:r>
              <w:rPr>
                <w:rFonts w:ascii="Helvetica" w:hAnsi="Helvetica"/>
                <w:sz w:val="16"/>
              </w:rPr>
              <w:t>fax +39 02 8259009</w:t>
            </w:r>
          </w:p>
          <w:p w14:paraId="27E6149D" w14:textId="77777777" w:rsidR="00C12950" w:rsidRDefault="00C12950" w:rsidP="00F00EE7">
            <w:pPr>
              <w:tabs>
                <w:tab w:val="left" w:pos="426"/>
              </w:tabs>
              <w:ind w:right="212"/>
              <w:jc w:val="both"/>
              <w:rPr>
                <w:rFonts w:ascii="Helvetica" w:hAnsi="Helvetica"/>
                <w:sz w:val="16"/>
              </w:rPr>
            </w:pPr>
            <w:r>
              <w:rPr>
                <w:rFonts w:ascii="Helvetica" w:hAnsi="Helvetica"/>
                <w:sz w:val="16"/>
              </w:rPr>
              <w:t>www.acimall.com</w:t>
            </w:r>
          </w:p>
          <w:p w14:paraId="40B19344" w14:textId="77777777" w:rsidR="00C12950" w:rsidRDefault="00C12950" w:rsidP="00F00EE7">
            <w:pPr>
              <w:tabs>
                <w:tab w:val="left" w:pos="426"/>
              </w:tabs>
              <w:ind w:right="212"/>
              <w:jc w:val="both"/>
            </w:pPr>
            <w:r>
              <w:rPr>
                <w:rFonts w:ascii="Helvetica" w:hAnsi="Helvetica"/>
                <w:sz w:val="16"/>
              </w:rPr>
              <w:t>info@acimall.com</w:t>
            </w:r>
          </w:p>
        </w:tc>
        <w:tc>
          <w:tcPr>
            <w:tcW w:w="2493" w:type="dxa"/>
          </w:tcPr>
          <w:p w14:paraId="776B756F" w14:textId="12096BDE" w:rsidR="00C12950" w:rsidRPr="00376C83" w:rsidRDefault="003D3CCC" w:rsidP="00F00EE7">
            <w:pPr>
              <w:tabs>
                <w:tab w:val="left" w:pos="426"/>
              </w:tabs>
              <w:ind w:left="-142" w:right="212"/>
              <w:jc w:val="right"/>
              <w:rPr>
                <w:rFonts w:ascii="Helvetica" w:hAnsi="Helvetica"/>
                <w:b/>
                <w:color w:val="000000" w:themeColor="text1"/>
                <w:sz w:val="28"/>
              </w:rPr>
            </w:pPr>
            <w:r>
              <w:rPr>
                <w:rFonts w:ascii="Helvetica" w:hAnsi="Helvetica"/>
                <w:b/>
                <w:w w:val="108"/>
                <w:kern w:val="22"/>
                <w:sz w:val="28"/>
              </w:rPr>
              <w:t xml:space="preserve"> </w:t>
            </w:r>
            <w:r w:rsidR="00A80D3F">
              <w:rPr>
                <w:rFonts w:ascii="Helvetica" w:hAnsi="Helvetica"/>
                <w:b/>
                <w:color w:val="000000" w:themeColor="text1"/>
                <w:w w:val="108"/>
                <w:kern w:val="22"/>
                <w:sz w:val="28"/>
              </w:rPr>
              <w:t>press office</w:t>
            </w:r>
          </w:p>
          <w:p w14:paraId="70852C71" w14:textId="07F83485" w:rsidR="00C12950" w:rsidRPr="004C4277" w:rsidRDefault="00010D59" w:rsidP="00F00EE7">
            <w:pPr>
              <w:tabs>
                <w:tab w:val="left" w:pos="426"/>
              </w:tabs>
              <w:ind w:left="-142" w:right="212"/>
              <w:jc w:val="right"/>
              <w:rPr>
                <w:rFonts w:ascii="Gill Sans MT" w:hAnsi="Gill Sans MT"/>
                <w:b/>
                <w:color w:val="FF0000"/>
                <w:sz w:val="14"/>
              </w:rPr>
            </w:pPr>
            <w:r>
              <w:rPr>
                <w:rFonts w:ascii="Helvetica" w:hAnsi="Helvetica"/>
                <w:color w:val="000000" w:themeColor="text1"/>
                <w:sz w:val="14"/>
              </w:rPr>
              <w:t>2</w:t>
            </w:r>
            <w:r w:rsidR="00C23A4E">
              <w:rPr>
                <w:rFonts w:ascii="Helvetica" w:hAnsi="Helvetica"/>
                <w:color w:val="000000" w:themeColor="text1"/>
                <w:sz w:val="14"/>
              </w:rPr>
              <w:t>8</w:t>
            </w:r>
            <w:r>
              <w:rPr>
                <w:rFonts w:ascii="Helvetica" w:hAnsi="Helvetica"/>
                <w:color w:val="000000" w:themeColor="text1"/>
                <w:sz w:val="14"/>
              </w:rPr>
              <w:t xml:space="preserve"> </w:t>
            </w:r>
            <w:proofErr w:type="spellStart"/>
            <w:r w:rsidR="00A80D3F">
              <w:rPr>
                <w:rFonts w:ascii="Helvetica" w:hAnsi="Helvetica"/>
                <w:color w:val="000000" w:themeColor="text1"/>
                <w:sz w:val="14"/>
              </w:rPr>
              <w:t>July</w:t>
            </w:r>
            <w:proofErr w:type="spellEnd"/>
            <w:r w:rsidR="00F7011C" w:rsidRPr="00376C83">
              <w:rPr>
                <w:rFonts w:ascii="Helvetica" w:hAnsi="Helvetica"/>
                <w:color w:val="000000" w:themeColor="text1"/>
                <w:sz w:val="14"/>
              </w:rPr>
              <w:t xml:space="preserve"> 2023</w:t>
            </w:r>
          </w:p>
        </w:tc>
      </w:tr>
    </w:tbl>
    <w:p w14:paraId="611215AC" w14:textId="77777777" w:rsidR="00C12950" w:rsidRDefault="00C12950" w:rsidP="00F00EE7">
      <w:pPr>
        <w:tabs>
          <w:tab w:val="left" w:pos="426"/>
        </w:tabs>
        <w:jc w:val="both"/>
        <w:rPr>
          <w:rFonts w:ascii="Arial" w:hAnsi="Arial"/>
          <w:sz w:val="20"/>
        </w:rPr>
      </w:pPr>
    </w:p>
    <w:p w14:paraId="0DD66105" w14:textId="77777777" w:rsidR="00C12950" w:rsidRPr="00B33B48" w:rsidRDefault="00C12950" w:rsidP="00F00EE7">
      <w:pPr>
        <w:tabs>
          <w:tab w:val="left" w:pos="426"/>
        </w:tabs>
        <w:ind w:left="426"/>
        <w:jc w:val="both"/>
        <w:rPr>
          <w:rFonts w:ascii="Arial" w:hAnsi="Arial" w:cs="Arial"/>
          <w:sz w:val="20"/>
        </w:rPr>
      </w:pPr>
    </w:p>
    <w:p w14:paraId="302BE59F" w14:textId="77777777" w:rsidR="00BD4E9A" w:rsidRPr="00B33B48" w:rsidRDefault="00BD4E9A" w:rsidP="00F00EE7">
      <w:pPr>
        <w:tabs>
          <w:tab w:val="left" w:pos="426"/>
        </w:tabs>
        <w:ind w:left="426"/>
        <w:jc w:val="both"/>
        <w:rPr>
          <w:rFonts w:ascii="Arial" w:hAnsi="Arial" w:cs="Arial"/>
          <w:b/>
          <w:sz w:val="20"/>
        </w:rPr>
      </w:pPr>
    </w:p>
    <w:p w14:paraId="4AF431D0" w14:textId="77777777" w:rsidR="001D79A8" w:rsidRDefault="001D79A8" w:rsidP="00F00EE7">
      <w:pPr>
        <w:tabs>
          <w:tab w:val="left" w:pos="426"/>
        </w:tabs>
        <w:jc w:val="both"/>
        <w:rPr>
          <w:rFonts w:ascii="Arial" w:hAnsi="Arial" w:cs="Arial"/>
          <w:b/>
          <w:sz w:val="20"/>
        </w:rPr>
      </w:pPr>
    </w:p>
    <w:p w14:paraId="44DF9640" w14:textId="77777777" w:rsidR="009D300B" w:rsidRDefault="009D300B" w:rsidP="00F00EE7">
      <w:pPr>
        <w:tabs>
          <w:tab w:val="left" w:pos="426"/>
        </w:tabs>
        <w:jc w:val="both"/>
        <w:rPr>
          <w:rFonts w:ascii="Arial" w:hAnsi="Arial" w:cs="Arial"/>
          <w:b/>
          <w:sz w:val="20"/>
        </w:rPr>
      </w:pPr>
    </w:p>
    <w:p w14:paraId="2C1204A0" w14:textId="4A48299E" w:rsidR="001670C8" w:rsidRDefault="001670C8" w:rsidP="00F00EE7">
      <w:pPr>
        <w:tabs>
          <w:tab w:val="left" w:pos="426"/>
        </w:tabs>
        <w:ind w:left="426"/>
        <w:jc w:val="both"/>
        <w:rPr>
          <w:rFonts w:ascii="Arial" w:hAnsi="Arial" w:cs="Arial"/>
          <w:b/>
          <w:sz w:val="20"/>
        </w:rPr>
      </w:pPr>
    </w:p>
    <w:p w14:paraId="4D7174C7" w14:textId="77777777" w:rsidR="001670C8" w:rsidRPr="00E92C27" w:rsidRDefault="001670C8" w:rsidP="00F00EE7">
      <w:pPr>
        <w:tabs>
          <w:tab w:val="left" w:pos="426"/>
        </w:tabs>
        <w:ind w:left="426"/>
        <w:jc w:val="both"/>
        <w:rPr>
          <w:rFonts w:ascii="Arial" w:hAnsi="Arial" w:cs="Arial"/>
          <w:b/>
          <w:color w:val="000000" w:themeColor="text1"/>
          <w:sz w:val="20"/>
        </w:rPr>
      </w:pPr>
    </w:p>
    <w:p w14:paraId="70690A85" w14:textId="7ECB010B" w:rsidR="00F7011C" w:rsidRPr="00C23A4E" w:rsidRDefault="00A80D3F" w:rsidP="00A80D3F">
      <w:pPr>
        <w:tabs>
          <w:tab w:val="left" w:pos="142"/>
          <w:tab w:val="left" w:pos="426"/>
        </w:tabs>
        <w:ind w:left="426"/>
        <w:jc w:val="both"/>
        <w:rPr>
          <w:rFonts w:ascii="Arial" w:hAnsi="Arial" w:cs="Arial"/>
          <w:b/>
          <w:color w:val="000000" w:themeColor="text1"/>
          <w:sz w:val="20"/>
          <w:lang w:val="en-US"/>
        </w:rPr>
      </w:pPr>
      <w:r w:rsidRPr="00620E97">
        <w:rPr>
          <w:rFonts w:ascii="Arial" w:hAnsi="Arial" w:cs="Arial"/>
          <w:b/>
          <w:sz w:val="20"/>
          <w:lang w:val="en-US"/>
        </w:rPr>
        <w:t>WOODWORKING TECHNOLOGY:</w:t>
      </w:r>
      <w:r w:rsidR="008F4FEF" w:rsidRPr="00C23A4E">
        <w:rPr>
          <w:rFonts w:ascii="Arial" w:hAnsi="Arial" w:cs="Arial"/>
          <w:b/>
          <w:color w:val="000000" w:themeColor="text1"/>
          <w:sz w:val="20"/>
          <w:lang w:val="en-US"/>
        </w:rPr>
        <w:t xml:space="preserve"> </w:t>
      </w:r>
      <w:r w:rsidRPr="00620E97">
        <w:rPr>
          <w:rFonts w:ascii="Arial" w:hAnsi="Arial" w:cs="Arial"/>
          <w:b/>
          <w:sz w:val="20"/>
          <w:lang w:val="en-US"/>
        </w:rPr>
        <w:t>“BACK TO NORMAL” CONTINUES</w:t>
      </w:r>
      <w:r w:rsidR="005C6567">
        <w:rPr>
          <w:rFonts w:ascii="Arial" w:hAnsi="Arial" w:cs="Arial"/>
          <w:b/>
          <w:sz w:val="20"/>
          <w:lang w:val="en-US"/>
        </w:rPr>
        <w:t xml:space="preserve"> </w:t>
      </w:r>
      <w:r w:rsidR="00B10EE6" w:rsidRPr="00C23A4E">
        <w:rPr>
          <w:rFonts w:ascii="Arial" w:hAnsi="Arial" w:cs="Arial"/>
          <w:b/>
          <w:color w:val="000000" w:themeColor="text1"/>
          <w:sz w:val="20"/>
          <w:lang w:val="en-US"/>
        </w:rPr>
        <w:t xml:space="preserve"> </w:t>
      </w:r>
    </w:p>
    <w:p w14:paraId="349FB9B9" w14:textId="77777777" w:rsidR="00F7011C" w:rsidRPr="00C23A4E" w:rsidRDefault="00F7011C" w:rsidP="00F00EE7">
      <w:pPr>
        <w:tabs>
          <w:tab w:val="left" w:pos="426"/>
        </w:tabs>
        <w:ind w:left="426"/>
        <w:rPr>
          <w:rFonts w:ascii="Arial" w:hAnsi="Arial" w:cs="Arial"/>
          <w:color w:val="000000" w:themeColor="text1"/>
          <w:sz w:val="20"/>
          <w:lang w:val="en-US"/>
        </w:rPr>
      </w:pPr>
    </w:p>
    <w:p w14:paraId="64B5C086" w14:textId="41977D0F" w:rsidR="00F00EE7" w:rsidRPr="00C23A4E" w:rsidRDefault="00A80D3F" w:rsidP="00A80D3F">
      <w:pPr>
        <w:tabs>
          <w:tab w:val="left" w:pos="426"/>
        </w:tabs>
        <w:ind w:left="426"/>
        <w:rPr>
          <w:rFonts w:ascii="Arial" w:hAnsi="Arial" w:cs="Arial"/>
          <w:color w:val="000000" w:themeColor="text1"/>
          <w:sz w:val="20"/>
          <w:lang w:val="en-US"/>
        </w:rPr>
      </w:pPr>
      <w:r w:rsidRPr="00620E97">
        <w:rPr>
          <w:rFonts w:ascii="Arial" w:hAnsi="Arial" w:cs="Arial"/>
          <w:sz w:val="20"/>
          <w:lang w:val="en-US"/>
        </w:rPr>
        <w:t xml:space="preserve">The quarterly survey by the Studies office of </w:t>
      </w:r>
      <w:r w:rsidRPr="00620E97">
        <w:rPr>
          <w:rFonts w:ascii="Arial" w:hAnsi="Arial" w:cs="Arial"/>
          <w:b/>
          <w:bCs/>
          <w:sz w:val="20"/>
          <w:lang w:val="en-US"/>
        </w:rPr>
        <w:t>Acimall</w:t>
      </w:r>
      <w:r w:rsidRPr="00620E97">
        <w:rPr>
          <w:rFonts w:ascii="Arial" w:hAnsi="Arial" w:cs="Arial"/>
          <w:sz w:val="20"/>
          <w:lang w:val="en-US"/>
        </w:rPr>
        <w:t>, the association of Italian woodworking and furniture technology manufacturers, reaffirmed the expected and inevitable return to a normal situation, after of period of exponential growth of orders and turnover.</w:t>
      </w:r>
    </w:p>
    <w:p w14:paraId="5FD29CF4" w14:textId="77777777" w:rsidR="00F00EE7" w:rsidRPr="00C23A4E" w:rsidRDefault="00F00EE7" w:rsidP="00F00EE7">
      <w:pPr>
        <w:tabs>
          <w:tab w:val="left" w:pos="426"/>
        </w:tabs>
        <w:ind w:left="426"/>
        <w:rPr>
          <w:rFonts w:ascii="Arial" w:hAnsi="Arial" w:cs="Arial"/>
          <w:color w:val="000000" w:themeColor="text1"/>
          <w:sz w:val="20"/>
          <w:lang w:val="en-US"/>
        </w:rPr>
      </w:pPr>
    </w:p>
    <w:p w14:paraId="5422CB09" w14:textId="0A40B69E" w:rsidR="00F00EE7" w:rsidRPr="00C23A4E" w:rsidRDefault="00A80D3F" w:rsidP="00A80D3F">
      <w:pPr>
        <w:tabs>
          <w:tab w:val="left" w:pos="426"/>
        </w:tabs>
        <w:ind w:left="426"/>
        <w:rPr>
          <w:rFonts w:ascii="Arial" w:hAnsi="Arial" w:cs="Arial"/>
          <w:color w:val="000000" w:themeColor="text1"/>
          <w:sz w:val="20"/>
          <w:lang w:val="en-US"/>
        </w:rPr>
      </w:pPr>
      <w:r w:rsidRPr="00620E97">
        <w:rPr>
          <w:rFonts w:ascii="Arial" w:hAnsi="Arial" w:cs="Arial"/>
          <w:sz w:val="20"/>
          <w:lang w:val="en-US"/>
        </w:rPr>
        <w:t xml:space="preserve">In the April-June period of this year, </w:t>
      </w:r>
      <w:r w:rsidRPr="00620E97">
        <w:rPr>
          <w:rFonts w:ascii="Arial" w:hAnsi="Arial" w:cs="Arial"/>
          <w:b/>
          <w:bCs/>
          <w:sz w:val="20"/>
          <w:lang w:val="en-US"/>
        </w:rPr>
        <w:t>orders</w:t>
      </w:r>
      <w:r w:rsidRPr="00620E97">
        <w:rPr>
          <w:rFonts w:ascii="Arial" w:hAnsi="Arial" w:cs="Arial"/>
          <w:sz w:val="20"/>
          <w:lang w:val="en-US"/>
        </w:rPr>
        <w:t xml:space="preserve"> recorded a 17.8 percent reduction versus the same period of 2022, resulting from an 18.7 percent decrease in orders </w:t>
      </w:r>
      <w:r w:rsidRPr="00620E97">
        <w:rPr>
          <w:rFonts w:ascii="Arial" w:hAnsi="Arial" w:cs="Arial"/>
          <w:b/>
          <w:bCs/>
          <w:sz w:val="20"/>
          <w:lang w:val="en-US"/>
        </w:rPr>
        <w:t>from abroad</w:t>
      </w:r>
      <w:r w:rsidRPr="00620E97">
        <w:rPr>
          <w:rFonts w:ascii="Arial" w:hAnsi="Arial" w:cs="Arial"/>
          <w:sz w:val="20"/>
          <w:lang w:val="en-US"/>
        </w:rPr>
        <w:t xml:space="preserve"> and a 13.8 percent decrease in </w:t>
      </w:r>
      <w:r w:rsidRPr="00620E97">
        <w:rPr>
          <w:rFonts w:ascii="Arial" w:hAnsi="Arial" w:cs="Arial"/>
          <w:b/>
          <w:bCs/>
          <w:sz w:val="20"/>
          <w:lang w:val="en-US"/>
        </w:rPr>
        <w:t>domestic orders</w:t>
      </w:r>
      <w:r w:rsidRPr="00620E97">
        <w:rPr>
          <w:rFonts w:ascii="Arial" w:hAnsi="Arial" w:cs="Arial"/>
          <w:sz w:val="20"/>
          <w:lang w:val="en-US"/>
        </w:rPr>
        <w:t>.</w:t>
      </w:r>
      <w:r w:rsidR="00C11B67" w:rsidRPr="00C23A4E">
        <w:rPr>
          <w:rFonts w:ascii="Arial" w:hAnsi="Arial" w:cs="Arial"/>
          <w:color w:val="000000" w:themeColor="text1"/>
          <w:sz w:val="20"/>
          <w:lang w:val="en-US"/>
        </w:rPr>
        <w:t xml:space="preserve"> </w:t>
      </w:r>
      <w:r w:rsidRPr="00620E97">
        <w:rPr>
          <w:rFonts w:ascii="Arial" w:hAnsi="Arial" w:cs="Arial"/>
          <w:sz w:val="20"/>
          <w:lang w:val="en-US"/>
        </w:rPr>
        <w:t xml:space="preserve">This result replicates the trend of the previous four months, all negative, and brings the </w:t>
      </w:r>
      <w:r w:rsidRPr="00620E97">
        <w:rPr>
          <w:rFonts w:ascii="Arial" w:hAnsi="Arial" w:cs="Arial"/>
          <w:b/>
          <w:bCs/>
          <w:sz w:val="20"/>
          <w:lang w:val="en-US"/>
        </w:rPr>
        <w:t>general industry index</w:t>
      </w:r>
      <w:r w:rsidRPr="00620E97">
        <w:rPr>
          <w:rFonts w:ascii="Arial" w:hAnsi="Arial" w:cs="Arial"/>
          <w:sz w:val="20"/>
          <w:lang w:val="en-US"/>
        </w:rPr>
        <w:t xml:space="preserve"> back to 2019 levels.</w:t>
      </w:r>
      <w:r w:rsidR="00F00EE7" w:rsidRPr="00C23A4E">
        <w:rPr>
          <w:rFonts w:ascii="Arial" w:hAnsi="Arial" w:cs="Arial"/>
          <w:color w:val="000000" w:themeColor="text1"/>
          <w:sz w:val="20"/>
          <w:lang w:val="en-US"/>
        </w:rPr>
        <w:t xml:space="preserve"> </w:t>
      </w:r>
      <w:r w:rsidRPr="00620E97">
        <w:rPr>
          <w:rFonts w:ascii="Arial" w:hAnsi="Arial" w:cs="Arial"/>
          <w:sz w:val="20"/>
          <w:lang w:val="en-US"/>
        </w:rPr>
        <w:t>So, back to normal after the pandemic-driven downturn and the subsequent recovery that benefited companies with unprecedented growth rates in the recent decades.</w:t>
      </w:r>
    </w:p>
    <w:p w14:paraId="1F378AF6" w14:textId="77777777" w:rsidR="00146A9C" w:rsidRPr="00C23A4E" w:rsidRDefault="00146A9C" w:rsidP="00F00EE7">
      <w:pPr>
        <w:tabs>
          <w:tab w:val="left" w:pos="426"/>
        </w:tabs>
        <w:ind w:left="426"/>
        <w:rPr>
          <w:rFonts w:ascii="Arial" w:hAnsi="Arial" w:cs="Arial"/>
          <w:sz w:val="20"/>
          <w:lang w:val="en-US"/>
        </w:rPr>
      </w:pPr>
    </w:p>
    <w:p w14:paraId="55D3F51B" w14:textId="7B1725F1" w:rsidR="00F00EE7" w:rsidRPr="00C23A4E" w:rsidRDefault="00A80D3F" w:rsidP="00A80D3F">
      <w:pPr>
        <w:tabs>
          <w:tab w:val="left" w:pos="426"/>
        </w:tabs>
        <w:ind w:left="426"/>
        <w:rPr>
          <w:rFonts w:ascii="Arial" w:hAnsi="Arial" w:cs="Arial"/>
          <w:sz w:val="20"/>
          <w:lang w:val="en-US"/>
        </w:rPr>
      </w:pPr>
      <w:r w:rsidRPr="00620E97">
        <w:rPr>
          <w:rFonts w:ascii="Arial" w:hAnsi="Arial" w:cs="Arial"/>
          <w:sz w:val="20"/>
          <w:lang w:val="en-US"/>
        </w:rPr>
        <w:t xml:space="preserve">The wood and furniture technology industry can rely on an </w:t>
      </w:r>
      <w:r w:rsidRPr="00620E97">
        <w:rPr>
          <w:rFonts w:ascii="Arial" w:hAnsi="Arial" w:cs="Arial"/>
          <w:b/>
          <w:sz w:val="20"/>
          <w:lang w:val="en-US"/>
        </w:rPr>
        <w:t>order backlog</w:t>
      </w:r>
      <w:r w:rsidRPr="00620E97">
        <w:rPr>
          <w:rFonts w:ascii="Arial" w:hAnsi="Arial" w:cs="Arial"/>
          <w:sz w:val="20"/>
          <w:lang w:val="en-US"/>
        </w:rPr>
        <w:t xml:space="preserve"> of 5.2 months (unchanged from the previous quarter), while the </w:t>
      </w:r>
      <w:r w:rsidRPr="00620E97">
        <w:rPr>
          <w:rFonts w:ascii="Arial" w:hAnsi="Arial" w:cs="Arial"/>
          <w:b/>
          <w:sz w:val="20"/>
          <w:lang w:val="en-US"/>
        </w:rPr>
        <w:t>price variation</w:t>
      </w:r>
      <w:r w:rsidRPr="00620E97">
        <w:rPr>
          <w:rFonts w:ascii="Arial" w:hAnsi="Arial" w:cs="Arial"/>
          <w:sz w:val="20"/>
          <w:lang w:val="en-US"/>
        </w:rPr>
        <w:t xml:space="preserve"> from the beginning of the year – settled at 1.2 percent – is helping cool down the inflation that characterized this industry and the entire economy in the past two years.</w:t>
      </w:r>
    </w:p>
    <w:p w14:paraId="47A421A1" w14:textId="77777777" w:rsidR="00245DE1" w:rsidRPr="00C23A4E" w:rsidRDefault="00245DE1" w:rsidP="00F00EE7">
      <w:pPr>
        <w:tabs>
          <w:tab w:val="left" w:pos="426"/>
        </w:tabs>
        <w:ind w:left="426"/>
        <w:rPr>
          <w:rFonts w:ascii="Arial" w:hAnsi="Arial" w:cs="Arial"/>
          <w:sz w:val="20"/>
          <w:lang w:val="en-US"/>
        </w:rPr>
      </w:pPr>
    </w:p>
    <w:p w14:paraId="7AE656E1" w14:textId="196DFAA9" w:rsidR="00830C43" w:rsidRPr="00C23A4E" w:rsidRDefault="00A80D3F" w:rsidP="003D679A">
      <w:pPr>
        <w:tabs>
          <w:tab w:val="left" w:pos="426"/>
        </w:tabs>
        <w:ind w:left="426"/>
        <w:rPr>
          <w:rFonts w:ascii="Arial" w:hAnsi="Arial" w:cs="Arial"/>
          <w:color w:val="000000" w:themeColor="text1"/>
          <w:sz w:val="20"/>
          <w:lang w:val="en-US"/>
        </w:rPr>
      </w:pPr>
      <w:r w:rsidRPr="00620E97">
        <w:rPr>
          <w:rFonts w:ascii="Arial" w:hAnsi="Arial" w:cs="Arial"/>
          <w:sz w:val="20"/>
          <w:lang w:val="en-US"/>
        </w:rPr>
        <w:t xml:space="preserve">According to the </w:t>
      </w:r>
      <w:r w:rsidRPr="00620E97">
        <w:rPr>
          <w:rFonts w:ascii="Arial" w:hAnsi="Arial" w:cs="Arial"/>
          <w:b/>
          <w:bCs/>
          <w:sz w:val="20"/>
          <w:lang w:val="en-US"/>
        </w:rPr>
        <w:t>quality survey</w:t>
      </w:r>
      <w:r w:rsidRPr="00620E97">
        <w:rPr>
          <w:rFonts w:ascii="Arial" w:hAnsi="Arial" w:cs="Arial"/>
          <w:sz w:val="20"/>
          <w:lang w:val="en-US"/>
        </w:rPr>
        <w:t xml:space="preserve">, 72 percent of the interviewed companies expect substantial stability in production (versus 71 percent in the previous quarter), while 9 percent </w:t>
      </w:r>
      <w:r w:rsidR="003D679A" w:rsidRPr="00620E97">
        <w:rPr>
          <w:rFonts w:ascii="Arial" w:hAnsi="Arial" w:cs="Arial"/>
          <w:sz w:val="20"/>
          <w:lang w:val="en-US"/>
        </w:rPr>
        <w:t>predict further shrinkage and 19 percent an increase (the balance is plus 10 points).</w:t>
      </w:r>
      <w:r w:rsidR="00F00EE7" w:rsidRPr="00C23A4E">
        <w:rPr>
          <w:rFonts w:ascii="Arial" w:hAnsi="Arial" w:cs="Arial"/>
          <w:sz w:val="20"/>
          <w:lang w:val="en-US"/>
        </w:rPr>
        <w:t xml:space="preserve"> </w:t>
      </w:r>
    </w:p>
    <w:p w14:paraId="6966074B" w14:textId="10F9491F" w:rsidR="00CB7879" w:rsidRPr="00C23A4E" w:rsidRDefault="003D679A" w:rsidP="003D679A">
      <w:pPr>
        <w:tabs>
          <w:tab w:val="left" w:pos="426"/>
        </w:tabs>
        <w:ind w:left="426"/>
        <w:rPr>
          <w:rFonts w:ascii="Arial" w:hAnsi="Arial" w:cs="Arial"/>
          <w:color w:val="000000" w:themeColor="text1"/>
          <w:sz w:val="20"/>
          <w:lang w:val="en-US"/>
        </w:rPr>
      </w:pPr>
      <w:r w:rsidRPr="00620E97">
        <w:rPr>
          <w:rFonts w:ascii="Arial" w:hAnsi="Arial" w:cs="Arial"/>
          <w:b/>
          <w:bCs/>
          <w:sz w:val="20"/>
          <w:lang w:val="en-US"/>
        </w:rPr>
        <w:t>Employment</w:t>
      </w:r>
      <w:r w:rsidRPr="00620E97">
        <w:rPr>
          <w:rFonts w:ascii="Arial" w:hAnsi="Arial" w:cs="Arial"/>
          <w:sz w:val="20"/>
          <w:lang w:val="en-US"/>
        </w:rPr>
        <w:t xml:space="preserve"> is increasing according to 14 percent of the sample, stationary for 81 percent, decreasing for 5 percent.</w:t>
      </w:r>
      <w:r w:rsidR="00163A91" w:rsidRPr="00C23A4E">
        <w:rPr>
          <w:rFonts w:ascii="Arial" w:hAnsi="Arial" w:cs="Arial"/>
          <w:color w:val="000000" w:themeColor="text1"/>
          <w:sz w:val="20"/>
          <w:lang w:val="en-US"/>
        </w:rPr>
        <w:t xml:space="preserve"> </w:t>
      </w:r>
      <w:r w:rsidRPr="00620E97">
        <w:rPr>
          <w:rFonts w:ascii="Arial" w:hAnsi="Arial" w:cs="Arial"/>
          <w:b/>
          <w:sz w:val="20"/>
          <w:lang w:val="en-US"/>
        </w:rPr>
        <w:t xml:space="preserve">Available stocks </w:t>
      </w:r>
      <w:r w:rsidRPr="00620E97">
        <w:rPr>
          <w:rFonts w:ascii="Arial" w:hAnsi="Arial" w:cs="Arial"/>
          <w:bCs/>
          <w:sz w:val="20"/>
          <w:lang w:val="en-US"/>
        </w:rPr>
        <w:t>are stable according to 34 percent of the interviewees (versus 62 percent in the January-March period), increasing for 33 percent and decreasing for 33 percent.</w:t>
      </w:r>
    </w:p>
    <w:p w14:paraId="593DD594" w14:textId="77777777" w:rsidR="00CB7879" w:rsidRPr="00C23A4E" w:rsidRDefault="00CB7879" w:rsidP="00CB7879">
      <w:pPr>
        <w:tabs>
          <w:tab w:val="left" w:pos="426"/>
        </w:tabs>
        <w:ind w:left="426"/>
        <w:rPr>
          <w:rFonts w:ascii="Arial" w:hAnsi="Arial" w:cs="Arial"/>
          <w:color w:val="000000" w:themeColor="text1"/>
          <w:sz w:val="20"/>
          <w:lang w:val="en-US"/>
        </w:rPr>
      </w:pPr>
    </w:p>
    <w:p w14:paraId="3F6EE8AC" w14:textId="2F35E817" w:rsidR="00F00EE7" w:rsidRPr="00C23A4E" w:rsidRDefault="003D679A" w:rsidP="00157423">
      <w:pPr>
        <w:tabs>
          <w:tab w:val="left" w:pos="426"/>
        </w:tabs>
        <w:ind w:left="426"/>
        <w:rPr>
          <w:rFonts w:ascii="Arial" w:hAnsi="Arial" w:cs="Arial"/>
          <w:color w:val="000000" w:themeColor="text1"/>
          <w:sz w:val="20"/>
          <w:lang w:val="en-US"/>
        </w:rPr>
      </w:pPr>
      <w:r w:rsidRPr="00620E97">
        <w:rPr>
          <w:rFonts w:ascii="Arial" w:hAnsi="Arial" w:cs="Arial"/>
          <w:sz w:val="20"/>
          <w:lang w:val="en-US"/>
        </w:rPr>
        <w:t xml:space="preserve">Looking at the </w:t>
      </w:r>
      <w:r w:rsidRPr="00620E97">
        <w:rPr>
          <w:rFonts w:ascii="Arial" w:hAnsi="Arial" w:cs="Arial"/>
          <w:b/>
          <w:sz w:val="20"/>
          <w:lang w:val="en-US"/>
        </w:rPr>
        <w:t>forecast survey</w:t>
      </w:r>
      <w:r w:rsidRPr="00620E97">
        <w:rPr>
          <w:rFonts w:ascii="Arial" w:hAnsi="Arial" w:cs="Arial"/>
          <w:sz w:val="20"/>
          <w:lang w:val="en-US"/>
        </w:rPr>
        <w:t xml:space="preserve">, the figures processed by the Acimall Studies office reveal a less positive climate compared to the previous quarter: as to the </w:t>
      </w:r>
      <w:r w:rsidRPr="00620E97">
        <w:rPr>
          <w:rFonts w:ascii="Arial" w:hAnsi="Arial" w:cs="Arial"/>
          <w:b/>
          <w:sz w:val="20"/>
          <w:lang w:val="en-US"/>
        </w:rPr>
        <w:t>foreign markets</w:t>
      </w:r>
      <w:r w:rsidRPr="00620E97">
        <w:rPr>
          <w:rFonts w:ascii="Arial" w:hAnsi="Arial" w:cs="Arial"/>
          <w:sz w:val="20"/>
          <w:lang w:val="en-US"/>
        </w:rPr>
        <w:t>, 33 percent of the sample expect a stable trend (versus 38 percent in the previous quarter); it will decrease according to 48 percent (38 in January-March) and increase according to the remaining 19 percent (versus 24).</w:t>
      </w:r>
      <w:r w:rsidR="00AE4257" w:rsidRPr="00C23A4E">
        <w:rPr>
          <w:rFonts w:ascii="Arial" w:hAnsi="Arial" w:cs="Arial"/>
          <w:color w:val="000000" w:themeColor="text1"/>
          <w:sz w:val="20"/>
          <w:lang w:val="en-US"/>
        </w:rPr>
        <w:t xml:space="preserve"> </w:t>
      </w:r>
      <w:r w:rsidR="00F00EE7" w:rsidRPr="00C23A4E">
        <w:rPr>
          <w:rFonts w:ascii="Arial" w:hAnsi="Arial" w:cs="Arial"/>
          <w:color w:val="000000" w:themeColor="text1"/>
          <w:sz w:val="20"/>
          <w:lang w:val="en-US"/>
        </w:rPr>
        <w:t xml:space="preserve"> </w:t>
      </w:r>
      <w:r w:rsidR="009C5785" w:rsidRPr="00620E97">
        <w:rPr>
          <w:rFonts w:ascii="Arial" w:hAnsi="Arial" w:cs="Arial"/>
          <w:sz w:val="20"/>
          <w:lang w:val="en-US"/>
        </w:rPr>
        <w:t xml:space="preserve">As to the </w:t>
      </w:r>
      <w:r w:rsidR="009C5785" w:rsidRPr="00620E97">
        <w:rPr>
          <w:rFonts w:ascii="Arial" w:hAnsi="Arial" w:cs="Arial"/>
          <w:b/>
          <w:sz w:val="20"/>
          <w:lang w:val="en-US"/>
        </w:rPr>
        <w:t>Italian market</w:t>
      </w:r>
      <w:r w:rsidR="009C5785" w:rsidRPr="00620E97">
        <w:rPr>
          <w:rFonts w:ascii="Arial" w:hAnsi="Arial" w:cs="Arial"/>
          <w:sz w:val="20"/>
          <w:lang w:val="en-US"/>
        </w:rPr>
        <w:t xml:space="preserve">, </w:t>
      </w:r>
      <w:r w:rsidR="00157423" w:rsidRPr="00620E97">
        <w:rPr>
          <w:rFonts w:ascii="Arial" w:hAnsi="Arial" w:cs="Arial"/>
          <w:sz w:val="20"/>
          <w:lang w:val="en-US"/>
        </w:rPr>
        <w:t>it will be stable according to</w:t>
      </w:r>
      <w:r w:rsidR="009C5785" w:rsidRPr="00620E97">
        <w:rPr>
          <w:rFonts w:ascii="Arial" w:hAnsi="Arial" w:cs="Arial"/>
          <w:sz w:val="20"/>
          <w:lang w:val="en-US"/>
        </w:rPr>
        <w:t xml:space="preserve"> 48 percent</w:t>
      </w:r>
      <w:r w:rsidR="00157423" w:rsidRPr="00620E97">
        <w:rPr>
          <w:rFonts w:ascii="Arial" w:hAnsi="Arial" w:cs="Arial"/>
          <w:sz w:val="20"/>
          <w:lang w:val="en-US"/>
        </w:rPr>
        <w:t xml:space="preserve"> </w:t>
      </w:r>
      <w:r w:rsidR="009C5785" w:rsidRPr="00620E97">
        <w:rPr>
          <w:rFonts w:ascii="Arial" w:hAnsi="Arial" w:cs="Arial"/>
          <w:sz w:val="20"/>
          <w:lang w:val="en-US"/>
        </w:rPr>
        <w:t>o</w:t>
      </w:r>
      <w:r w:rsidR="00157423" w:rsidRPr="00620E97">
        <w:rPr>
          <w:rFonts w:ascii="Arial" w:hAnsi="Arial" w:cs="Arial"/>
          <w:sz w:val="20"/>
          <w:lang w:val="en-US"/>
        </w:rPr>
        <w:t>f the interviewees</w:t>
      </w:r>
      <w:r w:rsidR="009C5785" w:rsidRPr="00620E97">
        <w:rPr>
          <w:rFonts w:ascii="Arial" w:hAnsi="Arial" w:cs="Arial"/>
          <w:sz w:val="20"/>
          <w:lang w:val="en-US"/>
        </w:rPr>
        <w:t xml:space="preserve"> (57 percent</w:t>
      </w:r>
      <w:r w:rsidR="00157423" w:rsidRPr="00620E97">
        <w:rPr>
          <w:rFonts w:ascii="Arial" w:hAnsi="Arial" w:cs="Arial"/>
          <w:sz w:val="20"/>
          <w:lang w:val="en-US"/>
        </w:rPr>
        <w:t xml:space="preserve"> in the first quarter </w:t>
      </w:r>
      <w:r w:rsidR="009C5785" w:rsidRPr="00620E97">
        <w:rPr>
          <w:rFonts w:ascii="Arial" w:hAnsi="Arial" w:cs="Arial"/>
          <w:sz w:val="20"/>
          <w:lang w:val="en-US"/>
        </w:rPr>
        <w:t xml:space="preserve">2023), </w:t>
      </w:r>
      <w:r w:rsidR="00157423" w:rsidRPr="00620E97">
        <w:rPr>
          <w:rFonts w:ascii="Arial" w:hAnsi="Arial" w:cs="Arial"/>
          <w:sz w:val="20"/>
          <w:lang w:val="en-US"/>
        </w:rPr>
        <w:t>shrinking for</w:t>
      </w:r>
      <w:r w:rsidR="009C5785" w:rsidRPr="00620E97">
        <w:rPr>
          <w:rFonts w:ascii="Arial" w:hAnsi="Arial" w:cs="Arial"/>
          <w:sz w:val="20"/>
          <w:lang w:val="en-US"/>
        </w:rPr>
        <w:t xml:space="preserve"> 38 percent (</w:t>
      </w:r>
      <w:r w:rsidR="00157423" w:rsidRPr="00620E97">
        <w:rPr>
          <w:rFonts w:ascii="Arial" w:hAnsi="Arial" w:cs="Arial"/>
          <w:sz w:val="20"/>
          <w:lang w:val="en-US"/>
        </w:rPr>
        <w:t xml:space="preserve">versus 24 percent) and expanding for </w:t>
      </w:r>
      <w:r w:rsidR="009C5785" w:rsidRPr="00620E97">
        <w:rPr>
          <w:rFonts w:ascii="Arial" w:hAnsi="Arial" w:cs="Arial"/>
          <w:sz w:val="20"/>
          <w:lang w:val="en-US"/>
        </w:rPr>
        <w:t xml:space="preserve">14 (19 percent </w:t>
      </w:r>
      <w:r w:rsidR="00157423" w:rsidRPr="00620E97">
        <w:rPr>
          <w:rFonts w:ascii="Arial" w:hAnsi="Arial" w:cs="Arial"/>
          <w:sz w:val="20"/>
          <w:lang w:val="en-US"/>
        </w:rPr>
        <w:t>in the previous quarter)</w:t>
      </w:r>
      <w:r w:rsidR="009C5785" w:rsidRPr="00620E97">
        <w:rPr>
          <w:rFonts w:ascii="Arial" w:hAnsi="Arial" w:cs="Arial"/>
          <w:sz w:val="20"/>
          <w:lang w:val="en-US"/>
        </w:rPr>
        <w:t>.</w:t>
      </w:r>
    </w:p>
    <w:p w14:paraId="3219523F" w14:textId="77777777" w:rsidR="0023105F" w:rsidRPr="00C23A4E" w:rsidRDefault="0023105F" w:rsidP="0023105F">
      <w:pPr>
        <w:tabs>
          <w:tab w:val="left" w:pos="426"/>
        </w:tabs>
        <w:ind w:left="426"/>
        <w:rPr>
          <w:rFonts w:ascii="Arial" w:hAnsi="Arial" w:cs="Arial"/>
          <w:sz w:val="20"/>
          <w:lang w:val="en-US"/>
        </w:rPr>
      </w:pPr>
    </w:p>
    <w:p w14:paraId="166E56E0" w14:textId="0A552D65" w:rsidR="004E5439" w:rsidRPr="00C23A4E" w:rsidRDefault="00157423" w:rsidP="00157423">
      <w:pPr>
        <w:tabs>
          <w:tab w:val="left" w:pos="426"/>
        </w:tabs>
        <w:ind w:left="426"/>
        <w:rPr>
          <w:rFonts w:ascii="Arial" w:hAnsi="Arial" w:cs="Arial"/>
          <w:i/>
          <w:sz w:val="20"/>
          <w:lang w:val="en-US"/>
        </w:rPr>
      </w:pPr>
      <w:r w:rsidRPr="00620E97">
        <w:rPr>
          <w:rFonts w:ascii="Arial" w:hAnsi="Arial" w:cs="Arial"/>
          <w:i/>
          <w:sz w:val="20"/>
          <w:lang w:val="en-US"/>
        </w:rPr>
        <w:t>“This is an expected scenario</w:t>
      </w:r>
      <w:r w:rsidRPr="00620E97">
        <w:rPr>
          <w:rFonts w:ascii="Arial" w:hAnsi="Arial" w:cs="Arial"/>
          <w:sz w:val="20"/>
          <w:lang w:val="en-US"/>
        </w:rPr>
        <w:t xml:space="preserve"> – commented the </w:t>
      </w:r>
      <w:proofErr w:type="spellStart"/>
      <w:r w:rsidRPr="00620E97">
        <w:rPr>
          <w:rFonts w:ascii="Arial" w:hAnsi="Arial" w:cs="Arial"/>
          <w:sz w:val="20"/>
          <w:lang w:val="en-US"/>
        </w:rPr>
        <w:t>Acimall</w:t>
      </w:r>
      <w:proofErr w:type="spellEnd"/>
      <w:r w:rsidRPr="00620E97">
        <w:rPr>
          <w:rFonts w:ascii="Arial" w:hAnsi="Arial" w:cs="Arial"/>
          <w:sz w:val="20"/>
          <w:lang w:val="en-US"/>
        </w:rPr>
        <w:t xml:space="preserve"> director </w:t>
      </w:r>
      <w:r w:rsidRPr="00620E97">
        <w:rPr>
          <w:rFonts w:ascii="Arial" w:hAnsi="Arial" w:cs="Arial"/>
          <w:b/>
          <w:sz w:val="20"/>
          <w:lang w:val="en-US"/>
        </w:rPr>
        <w:t>Dario Corbetta</w:t>
      </w:r>
      <w:r w:rsidRPr="00620E97">
        <w:rPr>
          <w:rFonts w:ascii="Arial" w:hAnsi="Arial" w:cs="Arial"/>
          <w:sz w:val="20"/>
          <w:lang w:val="en-US"/>
        </w:rPr>
        <w:t xml:space="preserve"> – </w:t>
      </w:r>
      <w:r w:rsidRPr="00620E97">
        <w:rPr>
          <w:rFonts w:ascii="Arial" w:hAnsi="Arial" w:cs="Arial"/>
          <w:i/>
          <w:sz w:val="20"/>
          <w:lang w:val="en-US"/>
        </w:rPr>
        <w:t>but there might be a change of direction with the new Industry 5.0 Transition Plan, eagerly awaited not only by the wood and furniture technology industry, but by all mechanical engineering segments and beyond.</w:t>
      </w:r>
      <w:r w:rsidR="004E5439" w:rsidRPr="00C23A4E">
        <w:rPr>
          <w:rFonts w:ascii="Arial" w:hAnsi="Arial" w:cs="Arial"/>
          <w:i/>
          <w:sz w:val="20"/>
          <w:lang w:val="en-US"/>
        </w:rPr>
        <w:t xml:space="preserve"> </w:t>
      </w:r>
      <w:r w:rsidRPr="00620E97">
        <w:rPr>
          <w:rFonts w:ascii="Arial" w:hAnsi="Arial" w:cs="Arial"/>
          <w:i/>
          <w:sz w:val="20"/>
          <w:lang w:val="en-US"/>
        </w:rPr>
        <w:t>The scope of this plan might drive the recovery of the Italian market in the coming months, or at least from the beginning of 2024”.</w:t>
      </w:r>
    </w:p>
    <w:p w14:paraId="71B22D82" w14:textId="77777777" w:rsidR="004E5439" w:rsidRPr="00C23A4E" w:rsidRDefault="004E5439" w:rsidP="00BD6D92">
      <w:pPr>
        <w:tabs>
          <w:tab w:val="left" w:pos="426"/>
        </w:tabs>
        <w:ind w:left="426"/>
        <w:rPr>
          <w:rFonts w:ascii="Arial" w:hAnsi="Arial" w:cs="Arial"/>
          <w:sz w:val="20"/>
          <w:lang w:val="en-US"/>
        </w:rPr>
      </w:pPr>
    </w:p>
    <w:p w14:paraId="41A19263" w14:textId="2229B565" w:rsidR="004E5439" w:rsidRPr="00C23A4E" w:rsidRDefault="00157423" w:rsidP="00157423">
      <w:pPr>
        <w:tabs>
          <w:tab w:val="left" w:pos="426"/>
        </w:tabs>
        <w:ind w:left="426"/>
        <w:rPr>
          <w:rFonts w:ascii="Arial" w:hAnsi="Arial" w:cs="Arial"/>
          <w:sz w:val="20"/>
          <w:lang w:val="en-US"/>
        </w:rPr>
      </w:pPr>
      <w:r w:rsidRPr="00620E97">
        <w:rPr>
          <w:rFonts w:ascii="Arial" w:hAnsi="Arial" w:cs="Arial"/>
          <w:sz w:val="20"/>
          <w:lang w:val="en-US"/>
        </w:rPr>
        <w:t>These measures would certainly offer new and bigger opportunities to act in two directions, namely further progress towards digital transformation and an even stronger and tangible “green” revolution of industrial operations.</w:t>
      </w:r>
    </w:p>
    <w:p w14:paraId="79775E41" w14:textId="77777777" w:rsidR="00F00EE7" w:rsidRPr="00C23A4E" w:rsidRDefault="00F00EE7" w:rsidP="00F00EE7">
      <w:pPr>
        <w:tabs>
          <w:tab w:val="left" w:pos="426"/>
        </w:tabs>
        <w:ind w:left="426"/>
        <w:rPr>
          <w:rFonts w:ascii="Arial" w:hAnsi="Arial" w:cs="Arial"/>
          <w:sz w:val="20"/>
          <w:lang w:val="en-US"/>
        </w:rPr>
      </w:pPr>
    </w:p>
    <w:p w14:paraId="7367E250" w14:textId="77777777" w:rsidR="00F00EE7" w:rsidRPr="00C23A4E" w:rsidRDefault="00F00EE7" w:rsidP="00F00EE7">
      <w:pPr>
        <w:tabs>
          <w:tab w:val="left" w:pos="426"/>
        </w:tabs>
        <w:ind w:left="426"/>
        <w:rPr>
          <w:rFonts w:ascii="Arial" w:hAnsi="Arial" w:cs="Arial"/>
          <w:sz w:val="20"/>
          <w:lang w:val="en-US"/>
        </w:rPr>
      </w:pPr>
    </w:p>
    <w:p w14:paraId="6BDCCF7E" w14:textId="3E0F2166" w:rsidR="00840088" w:rsidRPr="00157423" w:rsidRDefault="00157423" w:rsidP="00157423">
      <w:pPr>
        <w:ind w:left="426"/>
        <w:rPr>
          <w:rFonts w:ascii="Arial" w:hAnsi="Arial" w:cs="Arial"/>
          <w:color w:val="000000" w:themeColor="text1"/>
          <w:sz w:val="20"/>
        </w:rPr>
      </w:pPr>
      <w:r w:rsidRPr="00620E97">
        <w:rPr>
          <w:rFonts w:ascii="Arial" w:hAnsi="Arial" w:cs="Arial"/>
          <w:i/>
          <w:sz w:val="20"/>
          <w:lang w:val="en-US"/>
        </w:rPr>
        <w:t>For more information:</w:t>
      </w:r>
    </w:p>
    <w:p w14:paraId="1110F91B" w14:textId="77777777" w:rsidR="00840088" w:rsidRPr="00F00EE7" w:rsidRDefault="00840088" w:rsidP="00840088">
      <w:pPr>
        <w:tabs>
          <w:tab w:val="left" w:pos="567"/>
        </w:tabs>
        <w:ind w:left="426"/>
        <w:jc w:val="both"/>
        <w:outlineLvl w:val="0"/>
        <w:rPr>
          <w:rFonts w:ascii="Arial" w:hAnsi="Arial" w:cs="Arial"/>
          <w:b/>
          <w:color w:val="000000" w:themeColor="text1"/>
          <w:sz w:val="20"/>
        </w:rPr>
      </w:pPr>
      <w:r w:rsidRPr="00F00EE7">
        <w:rPr>
          <w:rFonts w:ascii="Arial" w:hAnsi="Arial" w:cs="Arial"/>
          <w:b/>
          <w:color w:val="000000" w:themeColor="text1"/>
          <w:sz w:val="20"/>
        </w:rPr>
        <w:t>Luca Rossetti</w:t>
      </w:r>
    </w:p>
    <w:p w14:paraId="3FFC3468" w14:textId="24E535A9" w:rsidR="00AF50EF" w:rsidRPr="00F00EE7" w:rsidRDefault="00840088" w:rsidP="008570D7">
      <w:pPr>
        <w:tabs>
          <w:tab w:val="left" w:pos="560"/>
        </w:tabs>
        <w:ind w:left="426"/>
        <w:jc w:val="both"/>
        <w:outlineLvl w:val="0"/>
        <w:rPr>
          <w:rFonts w:ascii="Arial" w:hAnsi="Arial" w:cs="Arial"/>
          <w:color w:val="000000" w:themeColor="text1"/>
          <w:sz w:val="20"/>
          <w:u w:val="single"/>
        </w:rPr>
      </w:pPr>
      <w:r w:rsidRPr="00F00EE7">
        <w:rPr>
          <w:rFonts w:ascii="Arial" w:hAnsi="Arial" w:cs="Arial"/>
          <w:color w:val="000000" w:themeColor="text1"/>
          <w:sz w:val="20"/>
        </w:rPr>
        <w:t>+39 3</w:t>
      </w:r>
      <w:r w:rsidR="0068221D" w:rsidRPr="00F00EE7">
        <w:rPr>
          <w:rFonts w:ascii="Arial" w:hAnsi="Arial" w:cs="Arial"/>
          <w:color w:val="000000" w:themeColor="text1"/>
          <w:sz w:val="20"/>
        </w:rPr>
        <w:t>51</w:t>
      </w:r>
      <w:r w:rsidRPr="00F00EE7">
        <w:rPr>
          <w:rFonts w:ascii="Arial" w:hAnsi="Arial" w:cs="Arial"/>
          <w:color w:val="000000" w:themeColor="text1"/>
          <w:sz w:val="20"/>
        </w:rPr>
        <w:t xml:space="preserve"> </w:t>
      </w:r>
      <w:r w:rsidR="0068221D" w:rsidRPr="00F00EE7">
        <w:rPr>
          <w:rFonts w:ascii="Arial" w:hAnsi="Arial" w:cs="Arial"/>
          <w:color w:val="000000" w:themeColor="text1"/>
          <w:sz w:val="20"/>
        </w:rPr>
        <w:t>9098189</w:t>
      </w:r>
      <w:r w:rsidRPr="00F00EE7">
        <w:rPr>
          <w:rFonts w:ascii="Arial" w:hAnsi="Arial" w:cs="Arial"/>
          <w:color w:val="000000" w:themeColor="text1"/>
          <w:sz w:val="20"/>
        </w:rPr>
        <w:t xml:space="preserve"> - </w:t>
      </w:r>
      <w:hyperlink r:id="rId8" w:history="1">
        <w:r w:rsidRPr="00F00EE7">
          <w:rPr>
            <w:rStyle w:val="Collegamentoipertestuale"/>
            <w:rFonts w:ascii="Arial" w:hAnsi="Arial" w:cs="Arial"/>
            <w:color w:val="000000" w:themeColor="text1"/>
            <w:sz w:val="20"/>
          </w:rPr>
          <w:t>press@acimall.com</w:t>
        </w:r>
      </w:hyperlink>
    </w:p>
    <w:sectPr w:rsidR="00AF50EF" w:rsidRPr="00F00EE7" w:rsidSect="008570D7">
      <w:headerReference w:type="default" r:id="rId9"/>
      <w:footerReference w:type="even" r:id="rId10"/>
      <w:footerReference w:type="default" r:id="rId11"/>
      <w:headerReference w:type="first" r:id="rId12"/>
      <w:footerReference w:type="first" r:id="rId13"/>
      <w:pgSz w:w="11906" w:h="16838" w:code="9"/>
      <w:pgMar w:top="1276" w:right="991" w:bottom="142"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F4C33" w14:textId="77777777" w:rsidR="00722BFD" w:rsidRDefault="00722BFD">
      <w:r>
        <w:separator/>
      </w:r>
    </w:p>
  </w:endnote>
  <w:endnote w:type="continuationSeparator" w:id="0">
    <w:p w14:paraId="4618718F" w14:textId="77777777" w:rsidR="00722BFD" w:rsidRDefault="0072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swiss"/>
    <w:pitch w:val="variable"/>
    <w:sig w:usb0="E00002FF" w:usb1="5200205F" w:usb2="00A0C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5BF6" w14:textId="77777777" w:rsidR="00BD6D92" w:rsidRDefault="00BD6D9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07FA7CA" w14:textId="77777777" w:rsidR="00BD6D92" w:rsidRDefault="00BD6D92">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5DE1" w14:textId="77777777" w:rsidR="00BD6D92" w:rsidRDefault="00BD6D92">
    <w:pPr>
      <w:pStyle w:val="Pidipagina"/>
      <w:framePr w:wrap="around" w:vAnchor="text" w:hAnchor="page" w:x="5488" w:y="524"/>
      <w:jc w:val="center"/>
      <w:rPr>
        <w:rStyle w:val="Numeropagina"/>
      </w:rPr>
    </w:pPr>
  </w:p>
  <w:p w14:paraId="6A2D504F" w14:textId="77777777" w:rsidR="00BD6D92" w:rsidRDefault="00BD6D92">
    <w:pPr>
      <w:pStyle w:val="Pidipagina"/>
      <w:ind w:right="360"/>
    </w:pPr>
    <w:r>
      <w:t xml:space="preserve">   </w:t>
    </w:r>
  </w:p>
  <w:p w14:paraId="676EE327" w14:textId="196C1161" w:rsidR="00BD6D92" w:rsidRDefault="00BD6D92">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B1D6" w14:textId="77777777" w:rsidR="00BD6D92" w:rsidRDefault="00BD6D92">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6D7D" w14:textId="77777777" w:rsidR="00722BFD" w:rsidRDefault="00722BFD">
      <w:r>
        <w:separator/>
      </w:r>
    </w:p>
  </w:footnote>
  <w:footnote w:type="continuationSeparator" w:id="0">
    <w:p w14:paraId="44CE6EC2" w14:textId="77777777" w:rsidR="00722BFD" w:rsidRDefault="0072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CE48" w14:textId="6DC56FCB" w:rsidR="00BD6D92" w:rsidRDefault="00BD6D92">
    <w:pPr>
      <w:pStyle w:val="Intestazione"/>
      <w:ind w:left="360"/>
    </w:pPr>
  </w:p>
  <w:p w14:paraId="302658E1" w14:textId="77777777" w:rsidR="00BD6D92" w:rsidRDefault="00BD6D92">
    <w:pPr>
      <w:pStyle w:val="Intestazione"/>
      <w:ind w:left="360"/>
    </w:pPr>
  </w:p>
  <w:p w14:paraId="4A2C7678" w14:textId="77777777" w:rsidR="00BD6D92" w:rsidRDefault="00BD6D92">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4B7" w14:textId="39D9834C" w:rsidR="00BD6D92" w:rsidRDefault="00BD6D92">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16cid:durableId="1894149485">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16cid:durableId="705518756">
    <w:abstractNumId w:val="2"/>
  </w:num>
  <w:num w:numId="3" w16cid:durableId="95486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0D59"/>
    <w:rsid w:val="0001539F"/>
    <w:rsid w:val="0001721B"/>
    <w:rsid w:val="00087FD9"/>
    <w:rsid w:val="00095C56"/>
    <w:rsid w:val="000A33AA"/>
    <w:rsid w:val="000B731F"/>
    <w:rsid w:val="000C05B7"/>
    <w:rsid w:val="000C2E18"/>
    <w:rsid w:val="000C4AD3"/>
    <w:rsid w:val="000C5C5F"/>
    <w:rsid w:val="000E417A"/>
    <w:rsid w:val="000E4BEE"/>
    <w:rsid w:val="000E661F"/>
    <w:rsid w:val="000E7459"/>
    <w:rsid w:val="000F4C0F"/>
    <w:rsid w:val="00104F31"/>
    <w:rsid w:val="001258BE"/>
    <w:rsid w:val="00130D7E"/>
    <w:rsid w:val="00140D22"/>
    <w:rsid w:val="00142024"/>
    <w:rsid w:val="00146A9C"/>
    <w:rsid w:val="00157423"/>
    <w:rsid w:val="00163A91"/>
    <w:rsid w:val="001670C8"/>
    <w:rsid w:val="001702AD"/>
    <w:rsid w:val="0017075B"/>
    <w:rsid w:val="0017148B"/>
    <w:rsid w:val="00174464"/>
    <w:rsid w:val="0018053C"/>
    <w:rsid w:val="00180621"/>
    <w:rsid w:val="001812CA"/>
    <w:rsid w:val="00181DE3"/>
    <w:rsid w:val="00194570"/>
    <w:rsid w:val="001956B8"/>
    <w:rsid w:val="001A615F"/>
    <w:rsid w:val="001B28A8"/>
    <w:rsid w:val="001B415A"/>
    <w:rsid w:val="001B424B"/>
    <w:rsid w:val="001B57D7"/>
    <w:rsid w:val="001C421C"/>
    <w:rsid w:val="001D79A8"/>
    <w:rsid w:val="001E067F"/>
    <w:rsid w:val="001E6154"/>
    <w:rsid w:val="001E72A3"/>
    <w:rsid w:val="001F0D52"/>
    <w:rsid w:val="001F51B2"/>
    <w:rsid w:val="002042B0"/>
    <w:rsid w:val="00207FBA"/>
    <w:rsid w:val="00210CF8"/>
    <w:rsid w:val="002178A4"/>
    <w:rsid w:val="00224AB3"/>
    <w:rsid w:val="0023105F"/>
    <w:rsid w:val="00232B02"/>
    <w:rsid w:val="00245DE1"/>
    <w:rsid w:val="002545BF"/>
    <w:rsid w:val="002632E5"/>
    <w:rsid w:val="002650C8"/>
    <w:rsid w:val="00272082"/>
    <w:rsid w:val="00277B4A"/>
    <w:rsid w:val="00286B70"/>
    <w:rsid w:val="00291DE3"/>
    <w:rsid w:val="00294EDD"/>
    <w:rsid w:val="002A753A"/>
    <w:rsid w:val="002F11D9"/>
    <w:rsid w:val="002F2963"/>
    <w:rsid w:val="002F5769"/>
    <w:rsid w:val="00304533"/>
    <w:rsid w:val="00305B4C"/>
    <w:rsid w:val="00307139"/>
    <w:rsid w:val="00313293"/>
    <w:rsid w:val="00313979"/>
    <w:rsid w:val="00326C06"/>
    <w:rsid w:val="0034316E"/>
    <w:rsid w:val="00345D05"/>
    <w:rsid w:val="00365C65"/>
    <w:rsid w:val="00366693"/>
    <w:rsid w:val="00366E20"/>
    <w:rsid w:val="00376C83"/>
    <w:rsid w:val="00381921"/>
    <w:rsid w:val="003838AD"/>
    <w:rsid w:val="00386076"/>
    <w:rsid w:val="003A73F0"/>
    <w:rsid w:val="003B059D"/>
    <w:rsid w:val="003B109F"/>
    <w:rsid w:val="003D3CCC"/>
    <w:rsid w:val="003D679A"/>
    <w:rsid w:val="003F1E14"/>
    <w:rsid w:val="003F371B"/>
    <w:rsid w:val="003F5CBB"/>
    <w:rsid w:val="0040219C"/>
    <w:rsid w:val="0040679A"/>
    <w:rsid w:val="00406AB7"/>
    <w:rsid w:val="00416C21"/>
    <w:rsid w:val="00423CEB"/>
    <w:rsid w:val="00434C7E"/>
    <w:rsid w:val="00440FDD"/>
    <w:rsid w:val="004525E1"/>
    <w:rsid w:val="004559D3"/>
    <w:rsid w:val="00463561"/>
    <w:rsid w:val="00471328"/>
    <w:rsid w:val="004720FA"/>
    <w:rsid w:val="004B203B"/>
    <w:rsid w:val="004B3B06"/>
    <w:rsid w:val="004C4277"/>
    <w:rsid w:val="004E5439"/>
    <w:rsid w:val="004E619F"/>
    <w:rsid w:val="004E64E2"/>
    <w:rsid w:val="004F1C0F"/>
    <w:rsid w:val="00524EB0"/>
    <w:rsid w:val="00532AB7"/>
    <w:rsid w:val="00536329"/>
    <w:rsid w:val="00544E4C"/>
    <w:rsid w:val="00553F39"/>
    <w:rsid w:val="00556E60"/>
    <w:rsid w:val="00566630"/>
    <w:rsid w:val="00583DA9"/>
    <w:rsid w:val="00585084"/>
    <w:rsid w:val="005A06F9"/>
    <w:rsid w:val="005A2C26"/>
    <w:rsid w:val="005B514B"/>
    <w:rsid w:val="005C3375"/>
    <w:rsid w:val="005C6567"/>
    <w:rsid w:val="005C788E"/>
    <w:rsid w:val="005D1711"/>
    <w:rsid w:val="005D4C94"/>
    <w:rsid w:val="005D6503"/>
    <w:rsid w:val="005D6F46"/>
    <w:rsid w:val="005D7B5B"/>
    <w:rsid w:val="005E5302"/>
    <w:rsid w:val="005F5DB2"/>
    <w:rsid w:val="00620E97"/>
    <w:rsid w:val="0062142E"/>
    <w:rsid w:val="0063567C"/>
    <w:rsid w:val="0066775B"/>
    <w:rsid w:val="00671AAE"/>
    <w:rsid w:val="0068221D"/>
    <w:rsid w:val="006826C3"/>
    <w:rsid w:val="00683168"/>
    <w:rsid w:val="0069229C"/>
    <w:rsid w:val="006A64E2"/>
    <w:rsid w:val="006B1101"/>
    <w:rsid w:val="006C02B5"/>
    <w:rsid w:val="00705D68"/>
    <w:rsid w:val="007122E6"/>
    <w:rsid w:val="00720D6D"/>
    <w:rsid w:val="00722BFD"/>
    <w:rsid w:val="00724BEA"/>
    <w:rsid w:val="00736007"/>
    <w:rsid w:val="007443A2"/>
    <w:rsid w:val="00760EDC"/>
    <w:rsid w:val="007611D0"/>
    <w:rsid w:val="00762E78"/>
    <w:rsid w:val="00773075"/>
    <w:rsid w:val="00786BB1"/>
    <w:rsid w:val="00786C26"/>
    <w:rsid w:val="007A6D51"/>
    <w:rsid w:val="007B2DBD"/>
    <w:rsid w:val="007B3109"/>
    <w:rsid w:val="007B4E57"/>
    <w:rsid w:val="007B72D5"/>
    <w:rsid w:val="007D28CA"/>
    <w:rsid w:val="007E06BB"/>
    <w:rsid w:val="007E5480"/>
    <w:rsid w:val="00800F6A"/>
    <w:rsid w:val="0080513A"/>
    <w:rsid w:val="00807D67"/>
    <w:rsid w:val="00830C43"/>
    <w:rsid w:val="00840088"/>
    <w:rsid w:val="00840B4A"/>
    <w:rsid w:val="008570D7"/>
    <w:rsid w:val="00865C7A"/>
    <w:rsid w:val="0086642A"/>
    <w:rsid w:val="0087060B"/>
    <w:rsid w:val="008850FB"/>
    <w:rsid w:val="00891675"/>
    <w:rsid w:val="0089471C"/>
    <w:rsid w:val="008A5509"/>
    <w:rsid w:val="008C261D"/>
    <w:rsid w:val="008C32CC"/>
    <w:rsid w:val="008C3ACA"/>
    <w:rsid w:val="008E444A"/>
    <w:rsid w:val="008E5DBF"/>
    <w:rsid w:val="008E606A"/>
    <w:rsid w:val="008F01AF"/>
    <w:rsid w:val="008F4FEF"/>
    <w:rsid w:val="00901E8C"/>
    <w:rsid w:val="009024DF"/>
    <w:rsid w:val="00904BBD"/>
    <w:rsid w:val="00905D70"/>
    <w:rsid w:val="00917407"/>
    <w:rsid w:val="009201D1"/>
    <w:rsid w:val="00927BEF"/>
    <w:rsid w:val="00932B59"/>
    <w:rsid w:val="00932BC6"/>
    <w:rsid w:val="00941E08"/>
    <w:rsid w:val="00946C6A"/>
    <w:rsid w:val="00947D81"/>
    <w:rsid w:val="00960785"/>
    <w:rsid w:val="009703DB"/>
    <w:rsid w:val="009720DF"/>
    <w:rsid w:val="00972D3C"/>
    <w:rsid w:val="00973A6D"/>
    <w:rsid w:val="00975B1A"/>
    <w:rsid w:val="0097719C"/>
    <w:rsid w:val="00985C7E"/>
    <w:rsid w:val="00990459"/>
    <w:rsid w:val="00991CBC"/>
    <w:rsid w:val="00993D0D"/>
    <w:rsid w:val="009978F4"/>
    <w:rsid w:val="009B47DD"/>
    <w:rsid w:val="009C5785"/>
    <w:rsid w:val="009C5B81"/>
    <w:rsid w:val="009C6F87"/>
    <w:rsid w:val="009D300B"/>
    <w:rsid w:val="009E5E5C"/>
    <w:rsid w:val="00A004C4"/>
    <w:rsid w:val="00A018A0"/>
    <w:rsid w:val="00A029E7"/>
    <w:rsid w:val="00A108DB"/>
    <w:rsid w:val="00A24050"/>
    <w:rsid w:val="00A24489"/>
    <w:rsid w:val="00A2581D"/>
    <w:rsid w:val="00A60694"/>
    <w:rsid w:val="00A76779"/>
    <w:rsid w:val="00A80D3F"/>
    <w:rsid w:val="00A86E2C"/>
    <w:rsid w:val="00AB4D14"/>
    <w:rsid w:val="00AB77FB"/>
    <w:rsid w:val="00AB7930"/>
    <w:rsid w:val="00AE1B9E"/>
    <w:rsid w:val="00AE4257"/>
    <w:rsid w:val="00AE51EF"/>
    <w:rsid w:val="00AF50EF"/>
    <w:rsid w:val="00B024BA"/>
    <w:rsid w:val="00B0713B"/>
    <w:rsid w:val="00B10EE6"/>
    <w:rsid w:val="00B329E2"/>
    <w:rsid w:val="00B33B48"/>
    <w:rsid w:val="00B33F4A"/>
    <w:rsid w:val="00B47656"/>
    <w:rsid w:val="00B50A3F"/>
    <w:rsid w:val="00B657A0"/>
    <w:rsid w:val="00B65A3E"/>
    <w:rsid w:val="00B72A34"/>
    <w:rsid w:val="00B7327C"/>
    <w:rsid w:val="00B77080"/>
    <w:rsid w:val="00B9584F"/>
    <w:rsid w:val="00BC3417"/>
    <w:rsid w:val="00BC547E"/>
    <w:rsid w:val="00BD40BD"/>
    <w:rsid w:val="00BD4D44"/>
    <w:rsid w:val="00BD4E9A"/>
    <w:rsid w:val="00BD6D92"/>
    <w:rsid w:val="00BF2118"/>
    <w:rsid w:val="00BF35BC"/>
    <w:rsid w:val="00C04852"/>
    <w:rsid w:val="00C07008"/>
    <w:rsid w:val="00C10DE6"/>
    <w:rsid w:val="00C11B67"/>
    <w:rsid w:val="00C12950"/>
    <w:rsid w:val="00C23A4E"/>
    <w:rsid w:val="00C313DA"/>
    <w:rsid w:val="00C41993"/>
    <w:rsid w:val="00C435AF"/>
    <w:rsid w:val="00C441DA"/>
    <w:rsid w:val="00C54EF3"/>
    <w:rsid w:val="00C55169"/>
    <w:rsid w:val="00C60722"/>
    <w:rsid w:val="00C639FC"/>
    <w:rsid w:val="00C91D54"/>
    <w:rsid w:val="00C95E79"/>
    <w:rsid w:val="00C96A6C"/>
    <w:rsid w:val="00CB70B1"/>
    <w:rsid w:val="00CB7879"/>
    <w:rsid w:val="00CE4D8E"/>
    <w:rsid w:val="00CE6324"/>
    <w:rsid w:val="00CE7C6D"/>
    <w:rsid w:val="00D0397B"/>
    <w:rsid w:val="00D04850"/>
    <w:rsid w:val="00D0677A"/>
    <w:rsid w:val="00D10A5D"/>
    <w:rsid w:val="00D16C13"/>
    <w:rsid w:val="00D32BC8"/>
    <w:rsid w:val="00D42442"/>
    <w:rsid w:val="00D47E18"/>
    <w:rsid w:val="00D7134F"/>
    <w:rsid w:val="00D91B3F"/>
    <w:rsid w:val="00DB7438"/>
    <w:rsid w:val="00DC53CF"/>
    <w:rsid w:val="00DD038E"/>
    <w:rsid w:val="00DE3BC7"/>
    <w:rsid w:val="00DE3DFA"/>
    <w:rsid w:val="00E04E31"/>
    <w:rsid w:val="00E07556"/>
    <w:rsid w:val="00E12D44"/>
    <w:rsid w:val="00E2671D"/>
    <w:rsid w:val="00E26F68"/>
    <w:rsid w:val="00E35A76"/>
    <w:rsid w:val="00E6024D"/>
    <w:rsid w:val="00E60591"/>
    <w:rsid w:val="00E65415"/>
    <w:rsid w:val="00E655B9"/>
    <w:rsid w:val="00E66C6E"/>
    <w:rsid w:val="00E92C27"/>
    <w:rsid w:val="00EA05AD"/>
    <w:rsid w:val="00EC6035"/>
    <w:rsid w:val="00ED118D"/>
    <w:rsid w:val="00EF3187"/>
    <w:rsid w:val="00F00863"/>
    <w:rsid w:val="00F00EE7"/>
    <w:rsid w:val="00F01932"/>
    <w:rsid w:val="00F15D95"/>
    <w:rsid w:val="00F259BE"/>
    <w:rsid w:val="00F30178"/>
    <w:rsid w:val="00F3539D"/>
    <w:rsid w:val="00F379D8"/>
    <w:rsid w:val="00F64584"/>
    <w:rsid w:val="00F7011C"/>
    <w:rsid w:val="00F76DF4"/>
    <w:rsid w:val="00FB5D0B"/>
    <w:rsid w:val="00FD043C"/>
    <w:rsid w:val="00FD2F1D"/>
    <w:rsid w:val="00FF2E86"/>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f">
      <v:fill color="white"/>
      <v:stroke on="f"/>
    </o:shapedefaults>
    <o:shapelayout v:ext="edit">
      <o:idmap v:ext="edit" data="2"/>
    </o:shapelayout>
  </w:shapeDefaults>
  <w:doNotEmbedSmartTags/>
  <w:decimalSymbol w:val=","/>
  <w:listSeparator w:val=";"/>
  <w14:docId w14:val="62284E42"/>
  <w15:docId w15:val="{A6A47D83-E173-4C72-9478-72B159C7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204852">
      <w:bodyDiv w:val="1"/>
      <w:marLeft w:val="0"/>
      <w:marRight w:val="0"/>
      <w:marTop w:val="0"/>
      <w:marBottom w:val="0"/>
      <w:divBdr>
        <w:top w:val="none" w:sz="0" w:space="0" w:color="auto"/>
        <w:left w:val="none" w:sz="0" w:space="0" w:color="auto"/>
        <w:bottom w:val="none" w:sz="0" w:space="0" w:color="auto"/>
        <w:right w:val="none" w:sz="0" w:space="0" w:color="auto"/>
      </w:divBdr>
      <w:divsChild>
        <w:div w:id="1253931816">
          <w:marLeft w:val="0"/>
          <w:marRight w:val="0"/>
          <w:marTop w:val="0"/>
          <w:marBottom w:val="0"/>
          <w:divBdr>
            <w:top w:val="none" w:sz="0" w:space="0" w:color="auto"/>
            <w:left w:val="none" w:sz="0" w:space="0" w:color="auto"/>
            <w:bottom w:val="none" w:sz="0" w:space="0" w:color="auto"/>
            <w:right w:val="none" w:sz="0" w:space="0" w:color="auto"/>
          </w:divBdr>
          <w:divsChild>
            <w:div w:id="1227837217">
              <w:marLeft w:val="0"/>
              <w:marRight w:val="0"/>
              <w:marTop w:val="0"/>
              <w:marBottom w:val="0"/>
              <w:divBdr>
                <w:top w:val="none" w:sz="0" w:space="0" w:color="auto"/>
                <w:left w:val="none" w:sz="0" w:space="0" w:color="auto"/>
                <w:bottom w:val="none" w:sz="0" w:space="0" w:color="auto"/>
                <w:right w:val="none" w:sz="0" w:space="0" w:color="auto"/>
              </w:divBdr>
              <w:divsChild>
                <w:div w:id="1092818887">
                  <w:marLeft w:val="0"/>
                  <w:marRight w:val="0"/>
                  <w:marTop w:val="0"/>
                  <w:marBottom w:val="0"/>
                  <w:divBdr>
                    <w:top w:val="none" w:sz="0" w:space="0" w:color="auto"/>
                    <w:left w:val="none" w:sz="0" w:space="0" w:color="auto"/>
                    <w:bottom w:val="none" w:sz="0" w:space="0" w:color="auto"/>
                    <w:right w:val="none" w:sz="0" w:space="0" w:color="auto"/>
                  </w:divBdr>
                  <w:divsChild>
                    <w:div w:id="3533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1</Pages>
  <Words>494</Words>
  <Characters>2820</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3308</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Piero Borroni</cp:lastModifiedBy>
  <cp:revision>2</cp:revision>
  <cp:lastPrinted>2022-02-14T16:33:00Z</cp:lastPrinted>
  <dcterms:created xsi:type="dcterms:W3CDTF">2023-07-31T09:14:00Z</dcterms:created>
  <dcterms:modified xsi:type="dcterms:W3CDTF">2023-07-31T09:14:00Z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