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F00EE7">
            <w:pPr>
              <w:tabs>
                <w:tab w:val="left" w:pos="-430"/>
                <w:tab w:val="left" w:pos="426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F00EE7">
            <w:pPr>
              <w:pStyle w:val="Titolo1"/>
              <w:tabs>
                <w:tab w:val="left" w:pos="426"/>
              </w:tabs>
              <w:ind w:right="21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Acimall</w:t>
            </w:r>
            <w:proofErr w:type="spellEnd"/>
          </w:p>
          <w:p w14:paraId="74123824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Centro Direzionale Milanofiori</w:t>
            </w:r>
          </w:p>
          <w:p w14:paraId="7A00A7EC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57C3C08B" w:rsidR="00C12950" w:rsidRDefault="00C313DA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I-20057</w:t>
            </w:r>
            <w:r w:rsidR="00C12950">
              <w:rPr>
                <w:rFonts w:ascii="Helvetica" w:hAnsi="Helvetica"/>
                <w:sz w:val="16"/>
              </w:rPr>
              <w:t xml:space="preserve"> Assago (Milano)</w:t>
            </w:r>
          </w:p>
          <w:p w14:paraId="08812F63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37F42DC8" w:rsidR="00C12950" w:rsidRDefault="00C12950" w:rsidP="00F00EE7">
            <w:pPr>
              <w:tabs>
                <w:tab w:val="left" w:pos="426"/>
              </w:tabs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  <w:r w:rsidR="009761D9">
              <w:rPr>
                <w:rFonts w:ascii="Helvetica" w:hAnsi="Helvetica"/>
                <w:sz w:val="16"/>
              </w:rPr>
              <w:t xml:space="preserve"> </w:t>
            </w:r>
          </w:p>
        </w:tc>
        <w:tc>
          <w:tcPr>
            <w:tcW w:w="2493" w:type="dxa"/>
          </w:tcPr>
          <w:p w14:paraId="776B756F" w14:textId="3101CCB7" w:rsidR="00C12950" w:rsidRPr="00376C83" w:rsidRDefault="003D3CCC" w:rsidP="00F00EE7">
            <w:pPr>
              <w:tabs>
                <w:tab w:val="left" w:pos="426"/>
              </w:tabs>
              <w:ind w:left="-142" w:right="212"/>
              <w:jc w:val="right"/>
              <w:rPr>
                <w:rFonts w:ascii="Helvetica" w:hAnsi="Helvetica"/>
                <w:b/>
                <w:color w:val="000000" w:themeColor="text1"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 w:rsidRPr="00376C83">
              <w:rPr>
                <w:rFonts w:ascii="Helvetica" w:hAnsi="Helvetica"/>
                <w:b/>
                <w:color w:val="000000" w:themeColor="text1"/>
                <w:w w:val="108"/>
                <w:kern w:val="22"/>
                <w:sz w:val="28"/>
              </w:rPr>
              <w:t xml:space="preserve">ufficio </w:t>
            </w:r>
            <w:r w:rsidR="00C12950" w:rsidRPr="00376C83">
              <w:rPr>
                <w:rFonts w:ascii="Helvetica" w:hAnsi="Helvetica"/>
                <w:b/>
                <w:color w:val="000000" w:themeColor="text1"/>
                <w:sz w:val="28"/>
              </w:rPr>
              <w:t>stampa</w:t>
            </w:r>
          </w:p>
          <w:p w14:paraId="70852C71" w14:textId="3A47252D" w:rsidR="00C12950" w:rsidRPr="004C4277" w:rsidRDefault="00010D59" w:rsidP="00F00EE7">
            <w:pPr>
              <w:tabs>
                <w:tab w:val="left" w:pos="426"/>
              </w:tabs>
              <w:ind w:left="-142" w:right="212"/>
              <w:jc w:val="right"/>
              <w:rPr>
                <w:rFonts w:ascii="Gill Sans MT" w:hAnsi="Gill Sans MT"/>
                <w:b/>
                <w:color w:val="FF0000"/>
                <w:sz w:val="14"/>
              </w:rPr>
            </w:pPr>
            <w:r>
              <w:rPr>
                <w:rFonts w:ascii="Helvetica" w:hAnsi="Helvetica"/>
                <w:color w:val="000000" w:themeColor="text1"/>
                <w:sz w:val="14"/>
              </w:rPr>
              <w:t>27 luglio</w:t>
            </w:r>
            <w:r w:rsidR="00F7011C" w:rsidRPr="00376C83">
              <w:rPr>
                <w:rFonts w:ascii="Helvetica" w:hAnsi="Helvetica"/>
                <w:color w:val="000000" w:themeColor="text1"/>
                <w:sz w:val="14"/>
              </w:rPr>
              <w:t xml:space="preserve"> 2023</w:t>
            </w:r>
          </w:p>
        </w:tc>
      </w:tr>
    </w:tbl>
    <w:p w14:paraId="611215AC" w14:textId="77777777" w:rsidR="00C12950" w:rsidRDefault="00C12950" w:rsidP="00F00EE7">
      <w:pPr>
        <w:tabs>
          <w:tab w:val="left" w:pos="426"/>
        </w:tabs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F00EE7">
      <w:p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</w:p>
    <w:p w14:paraId="302BE59F" w14:textId="77777777" w:rsidR="00BD4E9A" w:rsidRPr="00B33B48" w:rsidRDefault="00BD4E9A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</w:rPr>
      </w:pPr>
    </w:p>
    <w:p w14:paraId="4AF431D0" w14:textId="77777777" w:rsidR="001D79A8" w:rsidRDefault="001D79A8" w:rsidP="00F00EE7">
      <w:pPr>
        <w:tabs>
          <w:tab w:val="left" w:pos="426"/>
        </w:tabs>
        <w:jc w:val="both"/>
        <w:rPr>
          <w:rFonts w:ascii="Arial" w:hAnsi="Arial" w:cs="Arial"/>
          <w:b/>
          <w:sz w:val="20"/>
        </w:rPr>
      </w:pPr>
    </w:p>
    <w:p w14:paraId="44DF9640" w14:textId="77777777" w:rsidR="009D300B" w:rsidRDefault="009D300B" w:rsidP="00F00EE7">
      <w:pPr>
        <w:tabs>
          <w:tab w:val="left" w:pos="426"/>
        </w:tabs>
        <w:jc w:val="both"/>
        <w:rPr>
          <w:rFonts w:ascii="Arial" w:hAnsi="Arial" w:cs="Arial"/>
          <w:b/>
          <w:sz w:val="20"/>
        </w:rPr>
      </w:pPr>
    </w:p>
    <w:p w14:paraId="2C1204A0" w14:textId="4A48299E" w:rsidR="001670C8" w:rsidRDefault="001670C8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</w:rPr>
      </w:pPr>
    </w:p>
    <w:p w14:paraId="4D7174C7" w14:textId="77777777" w:rsidR="001670C8" w:rsidRPr="00E92C27" w:rsidRDefault="001670C8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0690A85" w14:textId="00E5D24C" w:rsidR="00F7011C" w:rsidRPr="00E92C27" w:rsidRDefault="008F4FEF" w:rsidP="00F00EE7">
      <w:pPr>
        <w:tabs>
          <w:tab w:val="left" w:pos="142"/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 w:rsidRPr="00E92C27">
        <w:rPr>
          <w:rFonts w:ascii="Arial" w:hAnsi="Arial" w:cs="Arial"/>
          <w:b/>
          <w:color w:val="000000" w:themeColor="text1"/>
          <w:sz w:val="20"/>
        </w:rPr>
        <w:t xml:space="preserve">TECNOLOGIE PER IL LEGNO: </w:t>
      </w:r>
      <w:r w:rsidR="00F00EE7" w:rsidRPr="00E92C27">
        <w:rPr>
          <w:rFonts w:ascii="Arial" w:hAnsi="Arial" w:cs="Arial"/>
          <w:b/>
          <w:color w:val="000000" w:themeColor="text1"/>
          <w:sz w:val="20"/>
        </w:rPr>
        <w:t>CONFERMATO IL</w:t>
      </w:r>
      <w:r w:rsidR="000E4BEE" w:rsidRPr="00E92C27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F00EE7" w:rsidRPr="00E92C27">
        <w:rPr>
          <w:rFonts w:ascii="Arial" w:hAnsi="Arial" w:cs="Arial"/>
          <w:b/>
          <w:color w:val="000000" w:themeColor="text1"/>
          <w:sz w:val="20"/>
        </w:rPr>
        <w:t>“RITORNO ALLA NORMALITÀ"</w:t>
      </w:r>
      <w:r w:rsidR="009761D9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B10EE6" w:rsidRPr="00E92C27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349FB9B9" w14:textId="77777777" w:rsidR="00F7011C" w:rsidRPr="00E92C27" w:rsidRDefault="00F7011C" w:rsidP="00F00EE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64B5C086" w14:textId="1C18B207" w:rsidR="00F00EE7" w:rsidRPr="00E92C27" w:rsidRDefault="00F7011C" w:rsidP="00F00EE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E92C27">
        <w:rPr>
          <w:rFonts w:ascii="Arial" w:hAnsi="Arial" w:cs="Arial"/>
          <w:color w:val="000000" w:themeColor="text1"/>
          <w:sz w:val="20"/>
        </w:rPr>
        <w:t xml:space="preserve">L’indagine trimestrale realizzata dall’Ufficio studi di </w:t>
      </w:r>
      <w:proofErr w:type="spellStart"/>
      <w:r w:rsidRPr="00E92C27">
        <w:rPr>
          <w:rFonts w:ascii="Arial" w:hAnsi="Arial" w:cs="Arial"/>
          <w:b/>
          <w:bCs/>
          <w:color w:val="000000" w:themeColor="text1"/>
          <w:sz w:val="20"/>
        </w:rPr>
        <w:t>Acimall</w:t>
      </w:r>
      <w:proofErr w:type="spellEnd"/>
      <w:r w:rsidR="009720DF" w:rsidRPr="00E92C27">
        <w:rPr>
          <w:rFonts w:ascii="Arial" w:hAnsi="Arial" w:cs="Arial"/>
          <w:color w:val="000000" w:themeColor="text1"/>
          <w:sz w:val="20"/>
        </w:rPr>
        <w:t>,</w:t>
      </w:r>
      <w:r w:rsidRPr="00E92C27">
        <w:rPr>
          <w:rFonts w:ascii="Arial" w:hAnsi="Arial" w:cs="Arial"/>
          <w:color w:val="000000" w:themeColor="text1"/>
          <w:sz w:val="20"/>
        </w:rPr>
        <w:t xml:space="preserve"> l’associazi</w:t>
      </w:r>
      <w:r w:rsidR="00F00EE7" w:rsidRPr="00E92C27">
        <w:rPr>
          <w:rFonts w:ascii="Arial" w:hAnsi="Arial" w:cs="Arial"/>
          <w:color w:val="000000" w:themeColor="text1"/>
          <w:sz w:val="20"/>
        </w:rPr>
        <w:t>one che riunisce i costruttori italiani di tecnologie per il mondo del legno e del mobile, conferma l’atteso e inevitabile “ritorno alla normalità”, dopo una stagione di crescita esponenziale di ordini e fatturato.</w:t>
      </w:r>
    </w:p>
    <w:p w14:paraId="5FD29CF4" w14:textId="77777777" w:rsidR="00F00EE7" w:rsidRPr="00E92C27" w:rsidRDefault="00F00EE7" w:rsidP="00F00EE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5422CB09" w14:textId="3826DD42" w:rsidR="00F00EE7" w:rsidRPr="00E92C27" w:rsidRDefault="00F00EE7" w:rsidP="00C11B6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E92C27">
        <w:rPr>
          <w:rFonts w:ascii="Arial" w:hAnsi="Arial" w:cs="Arial"/>
          <w:color w:val="000000" w:themeColor="text1"/>
          <w:sz w:val="20"/>
        </w:rPr>
        <w:t xml:space="preserve">Nel periodo aprile-giugno di quest’anno, infatti, gli </w:t>
      </w:r>
      <w:r w:rsidRPr="00E92C27">
        <w:rPr>
          <w:rFonts w:ascii="Arial" w:hAnsi="Arial" w:cs="Arial"/>
          <w:b/>
          <w:color w:val="000000" w:themeColor="text1"/>
          <w:sz w:val="20"/>
        </w:rPr>
        <w:t>ordini</w:t>
      </w:r>
      <w:r w:rsidRPr="00E92C27">
        <w:rPr>
          <w:rFonts w:ascii="Arial" w:hAnsi="Arial" w:cs="Arial"/>
          <w:color w:val="000000" w:themeColor="text1"/>
          <w:sz w:val="20"/>
        </w:rPr>
        <w:t xml:space="preserve"> segnano una contrazione pari al 17,8 per cento rispetto allo stesso periodo 2022, un risultato al quale contribuiscono sia il meno 18,7 per cento registrato sulle commesse in arrivo da </w:t>
      </w:r>
      <w:r w:rsidRPr="00E92C27">
        <w:rPr>
          <w:rFonts w:ascii="Arial" w:hAnsi="Arial" w:cs="Arial"/>
          <w:b/>
          <w:color w:val="000000" w:themeColor="text1"/>
          <w:sz w:val="20"/>
        </w:rPr>
        <w:t>oltre confine</w:t>
      </w:r>
      <w:r w:rsidRPr="00E92C27">
        <w:rPr>
          <w:rFonts w:ascii="Arial" w:hAnsi="Arial" w:cs="Arial"/>
          <w:color w:val="000000" w:themeColor="text1"/>
          <w:sz w:val="20"/>
        </w:rPr>
        <w:t xml:space="preserve"> che il meno 13,8 della domanda dal </w:t>
      </w:r>
      <w:r w:rsidRPr="00E92C27">
        <w:rPr>
          <w:rFonts w:ascii="Arial" w:hAnsi="Arial" w:cs="Arial"/>
          <w:b/>
          <w:color w:val="000000" w:themeColor="text1"/>
          <w:sz w:val="20"/>
        </w:rPr>
        <w:t>mercato domestico</w:t>
      </w:r>
      <w:r w:rsidR="00E92C27" w:rsidRPr="00E92C27">
        <w:rPr>
          <w:rFonts w:ascii="Arial" w:hAnsi="Arial" w:cs="Arial"/>
          <w:color w:val="000000" w:themeColor="text1"/>
          <w:sz w:val="20"/>
        </w:rPr>
        <w:t>.</w:t>
      </w:r>
      <w:r w:rsidR="00C11B67">
        <w:rPr>
          <w:rFonts w:ascii="Arial" w:hAnsi="Arial" w:cs="Arial"/>
          <w:color w:val="000000" w:themeColor="text1"/>
          <w:sz w:val="20"/>
        </w:rPr>
        <w:t xml:space="preserve"> </w:t>
      </w:r>
      <w:r w:rsidRPr="00E92C27">
        <w:rPr>
          <w:rFonts w:ascii="Arial" w:hAnsi="Arial" w:cs="Arial"/>
          <w:color w:val="000000" w:themeColor="text1"/>
          <w:sz w:val="20"/>
        </w:rPr>
        <w:t>Il risultato conferma i dati registrati nei quattro trimestri precedenti, tutti di segno negativo, e riporta l’</w:t>
      </w:r>
      <w:r w:rsidRPr="00E92C27">
        <w:rPr>
          <w:rFonts w:ascii="Arial" w:hAnsi="Arial" w:cs="Arial"/>
          <w:b/>
          <w:color w:val="000000" w:themeColor="text1"/>
          <w:sz w:val="20"/>
        </w:rPr>
        <w:t xml:space="preserve">indice generale del settore </w:t>
      </w:r>
      <w:r w:rsidRPr="00E92C27">
        <w:rPr>
          <w:rFonts w:ascii="Arial" w:hAnsi="Arial" w:cs="Arial"/>
          <w:color w:val="000000" w:themeColor="text1"/>
          <w:sz w:val="20"/>
        </w:rPr>
        <w:t xml:space="preserve">ai livelli del 2019. Dunque, come dicevamo, un ritorno alla normalità dopo </w:t>
      </w:r>
      <w:r w:rsidR="00146A9C" w:rsidRPr="00E92C27">
        <w:rPr>
          <w:rFonts w:ascii="Arial" w:hAnsi="Arial" w:cs="Arial"/>
          <w:color w:val="000000" w:themeColor="text1"/>
          <w:sz w:val="20"/>
        </w:rPr>
        <w:t>la frenata determinata dalla pandemia</w:t>
      </w:r>
      <w:r w:rsidRPr="00E92C27">
        <w:rPr>
          <w:rFonts w:ascii="Arial" w:hAnsi="Arial" w:cs="Arial"/>
          <w:color w:val="000000" w:themeColor="text1"/>
          <w:sz w:val="20"/>
        </w:rPr>
        <w:t xml:space="preserve"> e la </w:t>
      </w:r>
      <w:r w:rsidR="00146A9C" w:rsidRPr="00E92C27">
        <w:rPr>
          <w:rFonts w:ascii="Arial" w:hAnsi="Arial" w:cs="Arial"/>
          <w:color w:val="000000" w:themeColor="text1"/>
          <w:sz w:val="20"/>
        </w:rPr>
        <w:t xml:space="preserve">successiva </w:t>
      </w:r>
      <w:r w:rsidRPr="00E92C27">
        <w:rPr>
          <w:rFonts w:ascii="Arial" w:hAnsi="Arial" w:cs="Arial"/>
          <w:color w:val="000000" w:themeColor="text1"/>
          <w:sz w:val="20"/>
        </w:rPr>
        <w:t xml:space="preserve">ripresa </w:t>
      </w:r>
      <w:r w:rsidR="00146A9C" w:rsidRPr="00E92C27">
        <w:rPr>
          <w:rFonts w:ascii="Arial" w:hAnsi="Arial" w:cs="Arial"/>
          <w:color w:val="000000" w:themeColor="text1"/>
          <w:sz w:val="20"/>
        </w:rPr>
        <w:t xml:space="preserve">che ha garantito alle imprese </w:t>
      </w:r>
      <w:r w:rsidRPr="00E92C27">
        <w:rPr>
          <w:rFonts w:ascii="Arial" w:hAnsi="Arial" w:cs="Arial"/>
          <w:color w:val="000000" w:themeColor="text1"/>
          <w:sz w:val="20"/>
        </w:rPr>
        <w:t>assi di crescita mai riscontartisi negli ultimi decenni.</w:t>
      </w:r>
    </w:p>
    <w:p w14:paraId="1F378AF6" w14:textId="77777777" w:rsidR="00146A9C" w:rsidRPr="00F00EE7" w:rsidRDefault="00146A9C" w:rsidP="00F00EE7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55D3F51B" w14:textId="0777DDC8" w:rsidR="00F00EE7" w:rsidRDefault="00245DE1" w:rsidP="00F00EE7">
      <w:pPr>
        <w:tabs>
          <w:tab w:val="left" w:pos="426"/>
        </w:tabs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Il settore delle tecnologie per il legno e il mobile può contare su un </w:t>
      </w:r>
      <w:r w:rsidRPr="00245DE1">
        <w:rPr>
          <w:rFonts w:ascii="Arial" w:hAnsi="Arial" w:cs="Arial"/>
          <w:b/>
          <w:sz w:val="20"/>
        </w:rPr>
        <w:t>portafoglio ordini</w:t>
      </w:r>
      <w:r>
        <w:rPr>
          <w:rFonts w:ascii="Arial" w:hAnsi="Arial" w:cs="Arial"/>
          <w:sz w:val="20"/>
        </w:rPr>
        <w:t xml:space="preserve"> </w:t>
      </w:r>
      <w:r w:rsidRPr="00F00EE7">
        <w:rPr>
          <w:rFonts w:ascii="Arial" w:hAnsi="Arial" w:cs="Arial"/>
          <w:sz w:val="20"/>
        </w:rPr>
        <w:t>con 5,2 mesi di produzione assicurata</w:t>
      </w:r>
      <w:r w:rsidR="00786C26">
        <w:rPr>
          <w:rFonts w:ascii="Arial" w:hAnsi="Arial" w:cs="Arial"/>
          <w:sz w:val="20"/>
        </w:rPr>
        <w:t xml:space="preserve"> (lo stesso dato registrato nel trimestre precedente)</w:t>
      </w:r>
      <w:r>
        <w:rPr>
          <w:rFonts w:ascii="Arial" w:hAnsi="Arial" w:cs="Arial"/>
          <w:sz w:val="20"/>
        </w:rPr>
        <w:t xml:space="preserve">, </w:t>
      </w:r>
      <w:r w:rsidR="00F00EE7" w:rsidRPr="00F00EE7">
        <w:rPr>
          <w:rFonts w:ascii="Arial" w:hAnsi="Arial" w:cs="Arial"/>
          <w:sz w:val="20"/>
        </w:rPr>
        <w:t xml:space="preserve">mentre la </w:t>
      </w:r>
      <w:r w:rsidR="00F00EE7" w:rsidRPr="00245DE1">
        <w:rPr>
          <w:rFonts w:ascii="Arial" w:hAnsi="Arial" w:cs="Arial"/>
          <w:b/>
          <w:sz w:val="20"/>
        </w:rPr>
        <w:t>va</w:t>
      </w:r>
      <w:r w:rsidRPr="00245DE1">
        <w:rPr>
          <w:rFonts w:ascii="Arial" w:hAnsi="Arial" w:cs="Arial"/>
          <w:b/>
          <w:sz w:val="20"/>
        </w:rPr>
        <w:t>riazione prezzi</w:t>
      </w:r>
      <w:r>
        <w:rPr>
          <w:rFonts w:ascii="Arial" w:hAnsi="Arial" w:cs="Arial"/>
          <w:sz w:val="20"/>
        </w:rPr>
        <w:t xml:space="preserve"> da inizio anno – che si è attestata all’1,2 per cento – </w:t>
      </w:r>
      <w:r w:rsidR="00F00EE7" w:rsidRPr="00F00EE7">
        <w:rPr>
          <w:rFonts w:ascii="Arial" w:hAnsi="Arial" w:cs="Arial"/>
          <w:sz w:val="20"/>
        </w:rPr>
        <w:t>rappresenta un raffreddamento dell’inflazione che ha caratterizzato il settore</w:t>
      </w:r>
      <w:r>
        <w:rPr>
          <w:rFonts w:ascii="Arial" w:hAnsi="Arial" w:cs="Arial"/>
          <w:sz w:val="20"/>
        </w:rPr>
        <w:t xml:space="preserve"> e</w:t>
      </w:r>
      <w:r w:rsidR="00F00EE7" w:rsidRPr="00F00EE7">
        <w:rPr>
          <w:rFonts w:ascii="Arial" w:hAnsi="Arial" w:cs="Arial"/>
          <w:sz w:val="20"/>
        </w:rPr>
        <w:t xml:space="preserve"> l’economia in generale nell’ultimo biennio.</w:t>
      </w:r>
    </w:p>
    <w:p w14:paraId="47A421A1" w14:textId="77777777" w:rsidR="00245DE1" w:rsidRPr="00F00EE7" w:rsidRDefault="00245DE1" w:rsidP="00F00EE7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7AE656E1" w14:textId="56EAFB9E" w:rsidR="00830C43" w:rsidRPr="004E5439" w:rsidRDefault="00F00EE7" w:rsidP="00F00EE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F00EE7">
        <w:rPr>
          <w:rFonts w:ascii="Arial" w:hAnsi="Arial" w:cs="Arial"/>
          <w:sz w:val="20"/>
        </w:rPr>
        <w:t>L’</w:t>
      </w:r>
      <w:r w:rsidRPr="00245DE1">
        <w:rPr>
          <w:rFonts w:ascii="Arial" w:hAnsi="Arial" w:cs="Arial"/>
          <w:b/>
          <w:sz w:val="20"/>
        </w:rPr>
        <w:t xml:space="preserve">indagine qualitativa </w:t>
      </w:r>
      <w:r w:rsidR="00830C43">
        <w:rPr>
          <w:rFonts w:ascii="Arial" w:hAnsi="Arial" w:cs="Arial"/>
          <w:sz w:val="20"/>
        </w:rPr>
        <w:t>rivela che il 72 per cento del campione delle aziende intervistate preved</w:t>
      </w:r>
      <w:r w:rsidR="00C11B67">
        <w:rPr>
          <w:rFonts w:ascii="Arial" w:hAnsi="Arial" w:cs="Arial"/>
          <w:sz w:val="20"/>
        </w:rPr>
        <w:t>e</w:t>
      </w:r>
      <w:r w:rsidR="00830C43">
        <w:rPr>
          <w:rFonts w:ascii="Arial" w:hAnsi="Arial" w:cs="Arial"/>
          <w:sz w:val="20"/>
        </w:rPr>
        <w:t xml:space="preserve"> una sostanziale stabilità della produzione (era il 71 per cento nel trimestre precedente), mentre il 9 per cento si aspetta una ulteriore </w:t>
      </w:r>
      <w:r w:rsidR="00830C43" w:rsidRPr="004E5439">
        <w:rPr>
          <w:rFonts w:ascii="Arial" w:hAnsi="Arial" w:cs="Arial"/>
          <w:color w:val="000000" w:themeColor="text1"/>
          <w:sz w:val="20"/>
        </w:rPr>
        <w:t>diminuzione e il 19 per cento una crescita (</w:t>
      </w:r>
      <w:r w:rsidR="00C11B67">
        <w:rPr>
          <w:rFonts w:ascii="Arial" w:hAnsi="Arial" w:cs="Arial"/>
          <w:color w:val="000000" w:themeColor="text1"/>
          <w:sz w:val="20"/>
        </w:rPr>
        <w:t>saldo</w:t>
      </w:r>
      <w:r w:rsidRPr="004E5439">
        <w:rPr>
          <w:rFonts w:ascii="Arial" w:hAnsi="Arial" w:cs="Arial"/>
          <w:color w:val="000000" w:themeColor="text1"/>
          <w:sz w:val="20"/>
        </w:rPr>
        <w:t xml:space="preserve"> </w:t>
      </w:r>
      <w:r w:rsidR="00830C43" w:rsidRPr="004E5439">
        <w:rPr>
          <w:rFonts w:ascii="Arial" w:hAnsi="Arial" w:cs="Arial"/>
          <w:color w:val="000000" w:themeColor="text1"/>
          <w:sz w:val="20"/>
        </w:rPr>
        <w:t xml:space="preserve">più </w:t>
      </w:r>
      <w:r w:rsidRPr="004E5439">
        <w:rPr>
          <w:rFonts w:ascii="Arial" w:hAnsi="Arial" w:cs="Arial"/>
          <w:color w:val="000000" w:themeColor="text1"/>
          <w:sz w:val="20"/>
        </w:rPr>
        <w:t xml:space="preserve">10). </w:t>
      </w:r>
    </w:p>
    <w:p w14:paraId="6966074B" w14:textId="77777777" w:rsidR="00CB7879" w:rsidRPr="004E5439" w:rsidRDefault="00163A91" w:rsidP="00CB787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4E5439">
        <w:rPr>
          <w:rFonts w:ascii="Arial" w:hAnsi="Arial" w:cs="Arial"/>
          <w:color w:val="000000" w:themeColor="text1"/>
          <w:sz w:val="20"/>
        </w:rPr>
        <w:t>L’</w:t>
      </w:r>
      <w:r w:rsidR="00830C43" w:rsidRPr="004E5439">
        <w:rPr>
          <w:rFonts w:ascii="Arial" w:hAnsi="Arial" w:cs="Arial"/>
          <w:b/>
          <w:color w:val="000000" w:themeColor="text1"/>
          <w:sz w:val="20"/>
        </w:rPr>
        <w:t>occupazione</w:t>
      </w:r>
      <w:r w:rsidR="00313293" w:rsidRPr="004E5439">
        <w:rPr>
          <w:rFonts w:ascii="Arial" w:hAnsi="Arial" w:cs="Arial"/>
          <w:color w:val="000000" w:themeColor="text1"/>
          <w:sz w:val="20"/>
        </w:rPr>
        <w:t>:</w:t>
      </w:r>
      <w:r w:rsidRPr="004E5439">
        <w:rPr>
          <w:rFonts w:ascii="Arial" w:hAnsi="Arial" w:cs="Arial"/>
          <w:color w:val="000000" w:themeColor="text1"/>
          <w:sz w:val="20"/>
        </w:rPr>
        <w:t xml:space="preserve"> è in crescita per il 14 per cento del campione, stabile per l’81 per cento, in contraz</w:t>
      </w:r>
      <w:r w:rsidR="00CB7879" w:rsidRPr="004E5439">
        <w:rPr>
          <w:rFonts w:ascii="Arial" w:hAnsi="Arial" w:cs="Arial"/>
          <w:color w:val="000000" w:themeColor="text1"/>
          <w:sz w:val="20"/>
        </w:rPr>
        <w:t>ione pe</w:t>
      </w:r>
      <w:r w:rsidRPr="004E5439">
        <w:rPr>
          <w:rFonts w:ascii="Arial" w:hAnsi="Arial" w:cs="Arial"/>
          <w:color w:val="000000" w:themeColor="text1"/>
          <w:sz w:val="20"/>
        </w:rPr>
        <w:t>r</w:t>
      </w:r>
      <w:r w:rsidR="00CB7879" w:rsidRPr="004E5439">
        <w:rPr>
          <w:rFonts w:ascii="Arial" w:hAnsi="Arial" w:cs="Arial"/>
          <w:color w:val="000000" w:themeColor="text1"/>
          <w:sz w:val="20"/>
        </w:rPr>
        <w:t xml:space="preserve"> </w:t>
      </w:r>
      <w:r w:rsidRPr="004E5439">
        <w:rPr>
          <w:rFonts w:ascii="Arial" w:hAnsi="Arial" w:cs="Arial"/>
          <w:color w:val="000000" w:themeColor="text1"/>
          <w:sz w:val="20"/>
        </w:rPr>
        <w:t xml:space="preserve">il 5 per cento. </w:t>
      </w:r>
      <w:r w:rsidR="00830C43" w:rsidRPr="004E5439">
        <w:rPr>
          <w:rFonts w:ascii="Arial" w:hAnsi="Arial" w:cs="Arial"/>
          <w:b/>
          <w:color w:val="000000" w:themeColor="text1"/>
          <w:sz w:val="20"/>
        </w:rPr>
        <w:t>Giacenze</w:t>
      </w:r>
      <w:r w:rsidR="00830C43" w:rsidRPr="004E5439">
        <w:rPr>
          <w:rFonts w:ascii="Arial" w:hAnsi="Arial" w:cs="Arial"/>
          <w:color w:val="000000" w:themeColor="text1"/>
          <w:sz w:val="20"/>
        </w:rPr>
        <w:t xml:space="preserve"> stabili per il </w:t>
      </w:r>
      <w:r w:rsidRPr="004E5439">
        <w:rPr>
          <w:rFonts w:ascii="Arial" w:hAnsi="Arial" w:cs="Arial"/>
          <w:color w:val="000000" w:themeColor="text1"/>
          <w:sz w:val="20"/>
        </w:rPr>
        <w:t>34</w:t>
      </w:r>
      <w:r w:rsidR="00830C43" w:rsidRPr="004E5439">
        <w:rPr>
          <w:rFonts w:ascii="Arial" w:hAnsi="Arial" w:cs="Arial"/>
          <w:color w:val="000000" w:themeColor="text1"/>
          <w:sz w:val="20"/>
        </w:rPr>
        <w:t xml:space="preserve"> per cento degli intervistati</w:t>
      </w:r>
      <w:r w:rsidRPr="004E5439">
        <w:rPr>
          <w:rFonts w:ascii="Arial" w:hAnsi="Arial" w:cs="Arial"/>
          <w:color w:val="000000" w:themeColor="text1"/>
          <w:sz w:val="20"/>
        </w:rPr>
        <w:t xml:space="preserve"> (era il 62 nel periodo gennaio-marzo)</w:t>
      </w:r>
      <w:r w:rsidR="00830C43" w:rsidRPr="004E5439">
        <w:rPr>
          <w:rFonts w:ascii="Arial" w:hAnsi="Arial" w:cs="Arial"/>
          <w:color w:val="000000" w:themeColor="text1"/>
          <w:sz w:val="20"/>
        </w:rPr>
        <w:t xml:space="preserve">, </w:t>
      </w:r>
      <w:r w:rsidRPr="004E5439">
        <w:rPr>
          <w:rFonts w:ascii="Arial" w:hAnsi="Arial" w:cs="Arial"/>
          <w:color w:val="000000" w:themeColor="text1"/>
          <w:sz w:val="20"/>
        </w:rPr>
        <w:t>in aumento per il 33 per cento e in diminuzione per l’altro 33 per cento.</w:t>
      </w:r>
    </w:p>
    <w:p w14:paraId="593DD594" w14:textId="77777777" w:rsidR="00CB7879" w:rsidRPr="004E5439" w:rsidRDefault="00CB7879" w:rsidP="00CB787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3F6EE8AC" w14:textId="0FC3C5C0" w:rsidR="00F00EE7" w:rsidRDefault="00AE4257" w:rsidP="0023105F">
      <w:pPr>
        <w:tabs>
          <w:tab w:val="left" w:pos="426"/>
        </w:tabs>
        <w:ind w:left="426"/>
        <w:rPr>
          <w:rFonts w:ascii="Arial" w:hAnsi="Arial" w:cs="Arial"/>
          <w:sz w:val="20"/>
        </w:rPr>
      </w:pPr>
      <w:r w:rsidRPr="004E5439">
        <w:rPr>
          <w:rFonts w:ascii="Arial" w:hAnsi="Arial" w:cs="Arial"/>
          <w:color w:val="000000" w:themeColor="text1"/>
          <w:sz w:val="20"/>
        </w:rPr>
        <w:t>A proposito dell’</w:t>
      </w:r>
      <w:r w:rsidRPr="004E5439">
        <w:rPr>
          <w:rFonts w:ascii="Arial" w:hAnsi="Arial" w:cs="Arial"/>
          <w:b/>
          <w:color w:val="000000" w:themeColor="text1"/>
          <w:sz w:val="20"/>
        </w:rPr>
        <w:t xml:space="preserve">indagine previsionale </w:t>
      </w:r>
      <w:r w:rsidRPr="004E5439">
        <w:rPr>
          <w:rFonts w:ascii="Arial" w:hAnsi="Arial" w:cs="Arial"/>
          <w:color w:val="000000" w:themeColor="text1"/>
          <w:sz w:val="20"/>
        </w:rPr>
        <w:t xml:space="preserve">i dati elaborati dall’Ufficio Studi di </w:t>
      </w:r>
      <w:proofErr w:type="spellStart"/>
      <w:r w:rsidRPr="004E5439">
        <w:rPr>
          <w:rFonts w:ascii="Arial" w:hAnsi="Arial" w:cs="Arial"/>
          <w:color w:val="000000" w:themeColor="text1"/>
          <w:sz w:val="20"/>
        </w:rPr>
        <w:t>Acimall</w:t>
      </w:r>
      <w:proofErr w:type="spellEnd"/>
      <w:r w:rsidRPr="004E5439">
        <w:rPr>
          <w:rFonts w:ascii="Arial" w:hAnsi="Arial" w:cs="Arial"/>
          <w:color w:val="000000" w:themeColor="text1"/>
          <w:sz w:val="20"/>
        </w:rPr>
        <w:t xml:space="preserve"> rivelano un clima meno positivo rispetto al trimestre precedente: per quanto riguarda il </w:t>
      </w:r>
      <w:r w:rsidR="00F00EE7" w:rsidRPr="004E5439">
        <w:rPr>
          <w:rFonts w:ascii="Arial" w:hAnsi="Arial" w:cs="Arial"/>
          <w:b/>
          <w:color w:val="000000" w:themeColor="text1"/>
          <w:sz w:val="20"/>
        </w:rPr>
        <w:t>mercato estero</w:t>
      </w:r>
      <w:r w:rsidR="00F00EE7" w:rsidRPr="004E5439">
        <w:rPr>
          <w:rFonts w:ascii="Arial" w:hAnsi="Arial" w:cs="Arial"/>
          <w:color w:val="000000" w:themeColor="text1"/>
          <w:sz w:val="20"/>
        </w:rPr>
        <w:t xml:space="preserve"> il campione </w:t>
      </w:r>
      <w:r w:rsidRPr="004E5439">
        <w:rPr>
          <w:rFonts w:ascii="Arial" w:hAnsi="Arial" w:cs="Arial"/>
          <w:color w:val="000000" w:themeColor="text1"/>
          <w:sz w:val="20"/>
        </w:rPr>
        <w:t>si attende un andamento stabile nel 33 per cento</w:t>
      </w:r>
      <w:r w:rsidR="00F00EE7" w:rsidRPr="004E5439">
        <w:rPr>
          <w:rFonts w:ascii="Arial" w:hAnsi="Arial" w:cs="Arial"/>
          <w:color w:val="000000" w:themeColor="text1"/>
          <w:sz w:val="20"/>
        </w:rPr>
        <w:t xml:space="preserve"> dei casi</w:t>
      </w:r>
      <w:r w:rsidRPr="004E5439">
        <w:rPr>
          <w:rFonts w:ascii="Arial" w:hAnsi="Arial" w:cs="Arial"/>
          <w:color w:val="000000" w:themeColor="text1"/>
          <w:sz w:val="20"/>
        </w:rPr>
        <w:t xml:space="preserve"> (era i</w:t>
      </w:r>
      <w:r w:rsidR="0023105F" w:rsidRPr="004E5439">
        <w:rPr>
          <w:rFonts w:ascii="Arial" w:hAnsi="Arial" w:cs="Arial"/>
          <w:color w:val="000000" w:themeColor="text1"/>
          <w:sz w:val="20"/>
        </w:rPr>
        <w:t>l 38 nel trimestre precedente); in diminuzione per i</w:t>
      </w:r>
      <w:r w:rsidR="00F00EE7" w:rsidRPr="004E5439">
        <w:rPr>
          <w:rFonts w:ascii="Arial" w:hAnsi="Arial" w:cs="Arial"/>
          <w:color w:val="000000" w:themeColor="text1"/>
          <w:sz w:val="20"/>
        </w:rPr>
        <w:t>l 48</w:t>
      </w:r>
      <w:r w:rsidRPr="004E5439">
        <w:rPr>
          <w:rFonts w:ascii="Arial" w:hAnsi="Arial" w:cs="Arial"/>
          <w:color w:val="000000" w:themeColor="text1"/>
          <w:sz w:val="20"/>
        </w:rPr>
        <w:t xml:space="preserve"> per cento (38 nel gennaio-marzo)</w:t>
      </w:r>
      <w:r w:rsidR="0023105F" w:rsidRPr="004E5439">
        <w:rPr>
          <w:rFonts w:ascii="Arial" w:hAnsi="Arial" w:cs="Arial"/>
          <w:color w:val="000000" w:themeColor="text1"/>
          <w:sz w:val="20"/>
        </w:rPr>
        <w:t xml:space="preserve"> e in crescita per i</w:t>
      </w:r>
      <w:r w:rsidR="00F00EE7" w:rsidRPr="004E5439">
        <w:rPr>
          <w:rFonts w:ascii="Arial" w:hAnsi="Arial" w:cs="Arial"/>
          <w:color w:val="000000" w:themeColor="text1"/>
          <w:sz w:val="20"/>
        </w:rPr>
        <w:t>l restante 19</w:t>
      </w:r>
      <w:r w:rsidRPr="004E5439">
        <w:rPr>
          <w:rFonts w:ascii="Arial" w:hAnsi="Arial" w:cs="Arial"/>
          <w:color w:val="000000" w:themeColor="text1"/>
          <w:sz w:val="20"/>
        </w:rPr>
        <w:t xml:space="preserve"> per cento (era il 24). </w:t>
      </w:r>
      <w:r w:rsidR="00F00EE7" w:rsidRPr="004E5439">
        <w:rPr>
          <w:rFonts w:ascii="Arial" w:hAnsi="Arial" w:cs="Arial"/>
          <w:color w:val="000000" w:themeColor="text1"/>
          <w:sz w:val="20"/>
        </w:rPr>
        <w:t xml:space="preserve"> Relativamente al </w:t>
      </w:r>
      <w:r w:rsidR="00F00EE7" w:rsidRPr="004E5439">
        <w:rPr>
          <w:rFonts w:ascii="Arial" w:hAnsi="Arial" w:cs="Arial"/>
          <w:b/>
          <w:color w:val="000000" w:themeColor="text1"/>
          <w:sz w:val="20"/>
        </w:rPr>
        <w:t>mercato italiano</w:t>
      </w:r>
      <w:r w:rsidR="00F00EE7" w:rsidRPr="004E5439">
        <w:rPr>
          <w:rFonts w:ascii="Arial" w:hAnsi="Arial" w:cs="Arial"/>
          <w:color w:val="000000" w:themeColor="text1"/>
          <w:sz w:val="20"/>
        </w:rPr>
        <w:t xml:space="preserve"> l’andamento sarà stabile per il 48</w:t>
      </w:r>
      <w:r w:rsidR="0023105F" w:rsidRPr="004E5439">
        <w:rPr>
          <w:rFonts w:ascii="Arial" w:hAnsi="Arial" w:cs="Arial"/>
          <w:color w:val="000000" w:themeColor="text1"/>
          <w:sz w:val="20"/>
        </w:rPr>
        <w:t xml:space="preserve"> per cento</w:t>
      </w:r>
      <w:r w:rsidR="00F00EE7" w:rsidRPr="004E5439">
        <w:rPr>
          <w:rFonts w:ascii="Arial" w:hAnsi="Arial" w:cs="Arial"/>
          <w:color w:val="000000" w:themeColor="text1"/>
          <w:sz w:val="20"/>
        </w:rPr>
        <w:t xml:space="preserve"> degli intervistati</w:t>
      </w:r>
      <w:r w:rsidR="0023105F" w:rsidRPr="004E5439">
        <w:rPr>
          <w:rFonts w:ascii="Arial" w:hAnsi="Arial" w:cs="Arial"/>
          <w:color w:val="000000" w:themeColor="text1"/>
          <w:sz w:val="20"/>
        </w:rPr>
        <w:t xml:space="preserve"> (57 per cento nel primo trimestre 2023)</w:t>
      </w:r>
      <w:r w:rsidR="00F00EE7" w:rsidRPr="004E5439">
        <w:rPr>
          <w:rFonts w:ascii="Arial" w:hAnsi="Arial" w:cs="Arial"/>
          <w:color w:val="000000" w:themeColor="text1"/>
          <w:sz w:val="20"/>
        </w:rPr>
        <w:t xml:space="preserve">, </w:t>
      </w:r>
      <w:r w:rsidR="0023105F" w:rsidRPr="004E5439">
        <w:rPr>
          <w:rFonts w:ascii="Arial" w:hAnsi="Arial" w:cs="Arial"/>
          <w:color w:val="000000" w:themeColor="text1"/>
          <w:sz w:val="20"/>
        </w:rPr>
        <w:t xml:space="preserve">in diminuzione per </w:t>
      </w:r>
      <w:r w:rsidR="003F5CBB">
        <w:rPr>
          <w:rFonts w:ascii="Arial" w:hAnsi="Arial" w:cs="Arial"/>
          <w:color w:val="000000" w:themeColor="text1"/>
          <w:sz w:val="20"/>
        </w:rPr>
        <w:t>il 38</w:t>
      </w:r>
      <w:r w:rsidR="0023105F" w:rsidRPr="004E5439">
        <w:rPr>
          <w:rFonts w:ascii="Arial" w:hAnsi="Arial" w:cs="Arial"/>
          <w:color w:val="000000" w:themeColor="text1"/>
          <w:sz w:val="20"/>
        </w:rPr>
        <w:t xml:space="preserve"> per cento (era il 24 per cento) </w:t>
      </w:r>
      <w:r w:rsidR="003F5CBB">
        <w:rPr>
          <w:rFonts w:ascii="Arial" w:hAnsi="Arial" w:cs="Arial"/>
          <w:color w:val="000000" w:themeColor="text1"/>
          <w:sz w:val="20"/>
        </w:rPr>
        <w:t>e in aumento per il 14</w:t>
      </w:r>
      <w:r w:rsidR="0023105F" w:rsidRPr="004E5439">
        <w:rPr>
          <w:rFonts w:ascii="Arial" w:hAnsi="Arial" w:cs="Arial"/>
          <w:color w:val="000000" w:themeColor="text1"/>
          <w:sz w:val="20"/>
        </w:rPr>
        <w:t xml:space="preserve"> (19 per</w:t>
      </w:r>
      <w:r w:rsidR="0023105F">
        <w:rPr>
          <w:rFonts w:ascii="Arial" w:hAnsi="Arial" w:cs="Arial"/>
          <w:sz w:val="20"/>
        </w:rPr>
        <w:t xml:space="preserve"> cento lo scorso trimestre).</w:t>
      </w:r>
    </w:p>
    <w:p w14:paraId="3219523F" w14:textId="77777777" w:rsidR="0023105F" w:rsidRDefault="0023105F" w:rsidP="0023105F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166E56E0" w14:textId="77777777" w:rsidR="004E5439" w:rsidRDefault="0023105F" w:rsidP="00BD6D92">
      <w:pPr>
        <w:tabs>
          <w:tab w:val="left" w:pos="426"/>
        </w:tabs>
        <w:ind w:left="426"/>
        <w:rPr>
          <w:rFonts w:ascii="Arial" w:hAnsi="Arial" w:cs="Arial"/>
          <w:i/>
          <w:sz w:val="20"/>
        </w:rPr>
      </w:pPr>
      <w:r w:rsidRPr="004E5439">
        <w:rPr>
          <w:rFonts w:ascii="Arial" w:hAnsi="Arial" w:cs="Arial"/>
          <w:i/>
          <w:sz w:val="20"/>
        </w:rPr>
        <w:t>“Uno scenario atteso</w:t>
      </w:r>
      <w:r>
        <w:rPr>
          <w:rFonts w:ascii="Arial" w:hAnsi="Arial" w:cs="Arial"/>
          <w:sz w:val="20"/>
        </w:rPr>
        <w:t xml:space="preserve"> – ha commentato il direttore di </w:t>
      </w:r>
      <w:proofErr w:type="spellStart"/>
      <w:r>
        <w:rPr>
          <w:rFonts w:ascii="Arial" w:hAnsi="Arial" w:cs="Arial"/>
          <w:sz w:val="20"/>
        </w:rPr>
        <w:t>Acimall</w:t>
      </w:r>
      <w:proofErr w:type="spellEnd"/>
      <w:r>
        <w:rPr>
          <w:rFonts w:ascii="Arial" w:hAnsi="Arial" w:cs="Arial"/>
          <w:sz w:val="20"/>
        </w:rPr>
        <w:t xml:space="preserve">, </w:t>
      </w:r>
      <w:r w:rsidRPr="00BD6D92">
        <w:rPr>
          <w:rFonts w:ascii="Arial" w:hAnsi="Arial" w:cs="Arial"/>
          <w:b/>
          <w:sz w:val="20"/>
        </w:rPr>
        <w:t>Dario Corbetta</w:t>
      </w:r>
      <w:r>
        <w:rPr>
          <w:rFonts w:ascii="Arial" w:hAnsi="Arial" w:cs="Arial"/>
          <w:sz w:val="20"/>
        </w:rPr>
        <w:t xml:space="preserve"> – </w:t>
      </w:r>
      <w:r w:rsidR="00BD6D92" w:rsidRPr="004E5439">
        <w:rPr>
          <w:rFonts w:ascii="Arial" w:hAnsi="Arial" w:cs="Arial"/>
          <w:i/>
          <w:sz w:val="20"/>
        </w:rPr>
        <w:t>ma che potrebbe vivere un cambio di rotta significativo grazie al nuovo Piano Transizione Industria 5.0, fortemente atteso non solo dall</w:t>
      </w:r>
      <w:r w:rsidR="00F00EE7" w:rsidRPr="004E5439">
        <w:rPr>
          <w:rFonts w:ascii="Arial" w:hAnsi="Arial" w:cs="Arial"/>
          <w:i/>
          <w:sz w:val="20"/>
        </w:rPr>
        <w:t xml:space="preserve">’industria delle tecnologie per la lavorazione del legno e del mobile, </w:t>
      </w:r>
      <w:r w:rsidR="004E5439" w:rsidRPr="004E5439">
        <w:rPr>
          <w:rFonts w:ascii="Arial" w:hAnsi="Arial" w:cs="Arial"/>
          <w:i/>
          <w:sz w:val="20"/>
        </w:rPr>
        <w:t>ma da tutti i</w:t>
      </w:r>
      <w:r w:rsidR="00F00EE7" w:rsidRPr="004E5439">
        <w:rPr>
          <w:rFonts w:ascii="Arial" w:hAnsi="Arial" w:cs="Arial"/>
          <w:i/>
          <w:sz w:val="20"/>
        </w:rPr>
        <w:t xml:space="preserve"> comparti della meccanica e non solo</w:t>
      </w:r>
      <w:r w:rsidR="004E5439" w:rsidRPr="004E5439">
        <w:rPr>
          <w:rFonts w:ascii="Arial" w:hAnsi="Arial" w:cs="Arial"/>
          <w:i/>
          <w:sz w:val="20"/>
        </w:rPr>
        <w:t xml:space="preserve">. La portata del provvedimento potrebbe determinare </w:t>
      </w:r>
      <w:r w:rsidR="00F00EE7" w:rsidRPr="004E5439">
        <w:rPr>
          <w:rFonts w:ascii="Arial" w:hAnsi="Arial" w:cs="Arial"/>
          <w:i/>
          <w:sz w:val="20"/>
        </w:rPr>
        <w:t>la ripresa del mercato italiano già nei prossimi mesi o quantomeno a partire dall’inizio del 2024</w:t>
      </w:r>
      <w:r w:rsidR="004E5439" w:rsidRPr="004E5439">
        <w:rPr>
          <w:rFonts w:ascii="Arial" w:hAnsi="Arial" w:cs="Arial"/>
          <w:i/>
          <w:sz w:val="20"/>
        </w:rPr>
        <w:t>”</w:t>
      </w:r>
      <w:r w:rsidR="00F00EE7" w:rsidRPr="004E5439">
        <w:rPr>
          <w:rFonts w:ascii="Arial" w:hAnsi="Arial" w:cs="Arial"/>
          <w:i/>
          <w:sz w:val="20"/>
        </w:rPr>
        <w:t>.</w:t>
      </w:r>
    </w:p>
    <w:p w14:paraId="71B22D82" w14:textId="77777777" w:rsidR="004E5439" w:rsidRDefault="004E5439" w:rsidP="00BD6D92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41A19263" w14:textId="6BCA7C40" w:rsidR="004E5439" w:rsidRDefault="004E5439" w:rsidP="00BD6D92">
      <w:pPr>
        <w:tabs>
          <w:tab w:val="left" w:pos="426"/>
        </w:tabs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Un provvedimento che aprirebbe certamente nuove e più ampie possibilità di azione in due direttrici, ovvero </w:t>
      </w:r>
      <w:r w:rsidR="005D1711">
        <w:rPr>
          <w:rFonts w:ascii="Arial" w:hAnsi="Arial" w:cs="Arial"/>
          <w:sz w:val="20"/>
        </w:rPr>
        <w:t xml:space="preserve">verso un </w:t>
      </w:r>
      <w:r>
        <w:rPr>
          <w:rFonts w:ascii="Arial" w:hAnsi="Arial" w:cs="Arial"/>
          <w:sz w:val="20"/>
        </w:rPr>
        <w:t xml:space="preserve">ulteriore avanzamento sulla strada della digitalizzazione e </w:t>
      </w:r>
      <w:r w:rsidR="005D1711">
        <w:rPr>
          <w:rFonts w:ascii="Arial" w:hAnsi="Arial" w:cs="Arial"/>
          <w:sz w:val="20"/>
        </w:rPr>
        <w:t>per una</w:t>
      </w:r>
      <w:r>
        <w:rPr>
          <w:rFonts w:ascii="Arial" w:hAnsi="Arial" w:cs="Arial"/>
          <w:sz w:val="20"/>
        </w:rPr>
        <w:t xml:space="preserve"> ancora più decisa e concreta svolta “green” dei processi industriali.</w:t>
      </w:r>
    </w:p>
    <w:p w14:paraId="79775E41" w14:textId="77777777" w:rsidR="00F00EE7" w:rsidRPr="00F00EE7" w:rsidRDefault="00F00EE7" w:rsidP="00F00EE7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7367E250" w14:textId="77777777" w:rsidR="00F00EE7" w:rsidRPr="00F00EE7" w:rsidRDefault="00F00EE7" w:rsidP="00F00EE7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6BDCCF7E" w14:textId="47FF86CA" w:rsidR="00840088" w:rsidRPr="00F00EE7" w:rsidRDefault="00840088" w:rsidP="008570D7">
      <w:pPr>
        <w:ind w:left="426"/>
        <w:rPr>
          <w:rFonts w:ascii="Arial" w:hAnsi="Arial" w:cs="Arial"/>
          <w:color w:val="000000" w:themeColor="text1"/>
          <w:sz w:val="20"/>
        </w:rPr>
      </w:pPr>
      <w:r w:rsidRPr="00F00EE7">
        <w:rPr>
          <w:rFonts w:ascii="Arial" w:hAnsi="Arial" w:cs="Arial"/>
          <w:i/>
          <w:color w:val="000000" w:themeColor="text1"/>
          <w:sz w:val="20"/>
        </w:rPr>
        <w:t>Per ulteriori informazioni:</w:t>
      </w:r>
    </w:p>
    <w:p w14:paraId="1110F91B" w14:textId="77777777" w:rsidR="00840088" w:rsidRPr="00F00EE7" w:rsidRDefault="00840088" w:rsidP="00840088">
      <w:pPr>
        <w:tabs>
          <w:tab w:val="left" w:pos="567"/>
        </w:tabs>
        <w:ind w:left="426"/>
        <w:jc w:val="both"/>
        <w:outlineLvl w:val="0"/>
        <w:rPr>
          <w:rFonts w:ascii="Arial" w:hAnsi="Arial" w:cs="Arial"/>
          <w:b/>
          <w:color w:val="000000" w:themeColor="text1"/>
          <w:sz w:val="20"/>
        </w:rPr>
      </w:pPr>
      <w:r w:rsidRPr="00F00EE7">
        <w:rPr>
          <w:rFonts w:ascii="Arial" w:hAnsi="Arial" w:cs="Arial"/>
          <w:b/>
          <w:color w:val="000000" w:themeColor="text1"/>
          <w:sz w:val="20"/>
        </w:rPr>
        <w:t>Luca Rossetti</w:t>
      </w:r>
    </w:p>
    <w:p w14:paraId="3FFC3468" w14:textId="24E535A9" w:rsidR="00AF50EF" w:rsidRPr="00F00EE7" w:rsidRDefault="00840088" w:rsidP="008570D7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  <w:u w:val="single"/>
        </w:rPr>
      </w:pPr>
      <w:r w:rsidRPr="00F00EE7">
        <w:rPr>
          <w:rFonts w:ascii="Arial" w:hAnsi="Arial" w:cs="Arial"/>
          <w:color w:val="000000" w:themeColor="text1"/>
          <w:sz w:val="20"/>
        </w:rPr>
        <w:t>+39 3</w:t>
      </w:r>
      <w:r w:rsidR="0068221D" w:rsidRPr="00F00EE7">
        <w:rPr>
          <w:rFonts w:ascii="Arial" w:hAnsi="Arial" w:cs="Arial"/>
          <w:color w:val="000000" w:themeColor="text1"/>
          <w:sz w:val="20"/>
        </w:rPr>
        <w:t>51</w:t>
      </w:r>
      <w:r w:rsidRPr="00F00EE7">
        <w:rPr>
          <w:rFonts w:ascii="Arial" w:hAnsi="Arial" w:cs="Arial"/>
          <w:color w:val="000000" w:themeColor="text1"/>
          <w:sz w:val="20"/>
        </w:rPr>
        <w:t xml:space="preserve"> </w:t>
      </w:r>
      <w:r w:rsidR="0068221D" w:rsidRPr="00F00EE7">
        <w:rPr>
          <w:rFonts w:ascii="Arial" w:hAnsi="Arial" w:cs="Arial"/>
          <w:color w:val="000000" w:themeColor="text1"/>
          <w:sz w:val="20"/>
        </w:rPr>
        <w:t>9098189</w:t>
      </w:r>
      <w:r w:rsidRPr="00F00EE7">
        <w:rPr>
          <w:rFonts w:ascii="Arial" w:hAnsi="Arial" w:cs="Arial"/>
          <w:color w:val="000000" w:themeColor="text1"/>
          <w:sz w:val="20"/>
        </w:rPr>
        <w:t xml:space="preserve"> - </w:t>
      </w:r>
      <w:hyperlink r:id="rId8" w:history="1">
        <w:r w:rsidRPr="00F00EE7">
          <w:rPr>
            <w:rStyle w:val="Collegamentoipertestuale"/>
            <w:rFonts w:ascii="Arial" w:hAnsi="Arial" w:cs="Arial"/>
            <w:color w:val="000000" w:themeColor="text1"/>
            <w:sz w:val="20"/>
          </w:rPr>
          <w:t>press@acimall.com</w:t>
        </w:r>
      </w:hyperlink>
    </w:p>
    <w:sectPr w:rsidR="00AF50EF" w:rsidRPr="00F00EE7" w:rsidSect="008570D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142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38379" w14:textId="77777777" w:rsidR="00BD6D92" w:rsidRDefault="00BD6D92">
      <w:r>
        <w:separator/>
      </w:r>
    </w:p>
  </w:endnote>
  <w:endnote w:type="continuationSeparator" w:id="0">
    <w:p w14:paraId="4D70B108" w14:textId="77777777" w:rsidR="00BD6D92" w:rsidRDefault="00BD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5BF6" w14:textId="77777777" w:rsidR="00BD6D92" w:rsidRDefault="00BD6D9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BD6D92" w:rsidRDefault="00BD6D9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5DE1" w14:textId="77777777" w:rsidR="00BD6D92" w:rsidRDefault="00BD6D92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BD6D92" w:rsidRDefault="00BD6D92">
    <w:pPr>
      <w:pStyle w:val="Pidipagina"/>
      <w:ind w:right="360"/>
    </w:pPr>
    <w:r>
      <w:t xml:space="preserve">   </w:t>
    </w:r>
  </w:p>
  <w:p w14:paraId="676EE327" w14:textId="196C1161" w:rsidR="00BD6D92" w:rsidRDefault="00BD6D92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B1D6" w14:textId="77777777" w:rsidR="00BD6D92" w:rsidRDefault="00BD6D92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3929E" w14:textId="77777777" w:rsidR="00BD6D92" w:rsidRDefault="00BD6D92">
      <w:r>
        <w:separator/>
      </w:r>
    </w:p>
  </w:footnote>
  <w:footnote w:type="continuationSeparator" w:id="0">
    <w:p w14:paraId="5ADD5B46" w14:textId="77777777" w:rsidR="00BD6D92" w:rsidRDefault="00BD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CE48" w14:textId="6DC56FCB" w:rsidR="00BD6D92" w:rsidRDefault="00BD6D92">
    <w:pPr>
      <w:pStyle w:val="Intestazione"/>
      <w:ind w:left="360"/>
    </w:pPr>
  </w:p>
  <w:p w14:paraId="302658E1" w14:textId="77777777" w:rsidR="00BD6D92" w:rsidRDefault="00BD6D92">
    <w:pPr>
      <w:pStyle w:val="Intestazione"/>
      <w:ind w:left="360"/>
    </w:pPr>
  </w:p>
  <w:p w14:paraId="4A2C7678" w14:textId="77777777" w:rsidR="00BD6D92" w:rsidRDefault="00BD6D92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B4B7" w14:textId="39D9834C" w:rsidR="00BD6D92" w:rsidRDefault="00BD6D92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5455604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1721829622">
    <w:abstractNumId w:val="2"/>
  </w:num>
  <w:num w:numId="3" w16cid:durableId="560601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0D59"/>
    <w:rsid w:val="0001539F"/>
    <w:rsid w:val="0001721B"/>
    <w:rsid w:val="00087FD9"/>
    <w:rsid w:val="00095C56"/>
    <w:rsid w:val="000A33AA"/>
    <w:rsid w:val="000B731F"/>
    <w:rsid w:val="000C05B7"/>
    <w:rsid w:val="000C2E18"/>
    <w:rsid w:val="000C4AD3"/>
    <w:rsid w:val="000C5C5F"/>
    <w:rsid w:val="000E417A"/>
    <w:rsid w:val="000E4BEE"/>
    <w:rsid w:val="000E661F"/>
    <w:rsid w:val="000E7459"/>
    <w:rsid w:val="000F4C0F"/>
    <w:rsid w:val="00104F31"/>
    <w:rsid w:val="001258BE"/>
    <w:rsid w:val="00130D7E"/>
    <w:rsid w:val="00140D22"/>
    <w:rsid w:val="00142024"/>
    <w:rsid w:val="00146A9C"/>
    <w:rsid w:val="00163A91"/>
    <w:rsid w:val="001670C8"/>
    <w:rsid w:val="001702AD"/>
    <w:rsid w:val="0017075B"/>
    <w:rsid w:val="00174464"/>
    <w:rsid w:val="0018053C"/>
    <w:rsid w:val="00180621"/>
    <w:rsid w:val="001812CA"/>
    <w:rsid w:val="00181DE3"/>
    <w:rsid w:val="00194570"/>
    <w:rsid w:val="001956B8"/>
    <w:rsid w:val="001A615F"/>
    <w:rsid w:val="001B28A8"/>
    <w:rsid w:val="001B415A"/>
    <w:rsid w:val="001B424B"/>
    <w:rsid w:val="001B57D7"/>
    <w:rsid w:val="001C421C"/>
    <w:rsid w:val="001D79A8"/>
    <w:rsid w:val="001E067F"/>
    <w:rsid w:val="001E6154"/>
    <w:rsid w:val="001E72A3"/>
    <w:rsid w:val="001F0D52"/>
    <w:rsid w:val="001F51B2"/>
    <w:rsid w:val="002042B0"/>
    <w:rsid w:val="00207FBA"/>
    <w:rsid w:val="00210CF8"/>
    <w:rsid w:val="002178A4"/>
    <w:rsid w:val="00224AB3"/>
    <w:rsid w:val="0023105F"/>
    <w:rsid w:val="00232B02"/>
    <w:rsid w:val="00245DE1"/>
    <w:rsid w:val="002545BF"/>
    <w:rsid w:val="002632E5"/>
    <w:rsid w:val="002650C8"/>
    <w:rsid w:val="00272082"/>
    <w:rsid w:val="00277B4A"/>
    <w:rsid w:val="00286B70"/>
    <w:rsid w:val="00291DE3"/>
    <w:rsid w:val="00294EDD"/>
    <w:rsid w:val="002A753A"/>
    <w:rsid w:val="002F11D9"/>
    <w:rsid w:val="002F2963"/>
    <w:rsid w:val="002F5769"/>
    <w:rsid w:val="00304533"/>
    <w:rsid w:val="00305B4C"/>
    <w:rsid w:val="00307139"/>
    <w:rsid w:val="00313293"/>
    <w:rsid w:val="00313979"/>
    <w:rsid w:val="00326C06"/>
    <w:rsid w:val="0034316E"/>
    <w:rsid w:val="00345D05"/>
    <w:rsid w:val="00365C65"/>
    <w:rsid w:val="00366693"/>
    <w:rsid w:val="00366E20"/>
    <w:rsid w:val="00376C83"/>
    <w:rsid w:val="00381921"/>
    <w:rsid w:val="003838AD"/>
    <w:rsid w:val="00386076"/>
    <w:rsid w:val="003A73F0"/>
    <w:rsid w:val="003B059D"/>
    <w:rsid w:val="003B109F"/>
    <w:rsid w:val="003C203A"/>
    <w:rsid w:val="003D3CCC"/>
    <w:rsid w:val="003F1E14"/>
    <w:rsid w:val="003F371B"/>
    <w:rsid w:val="003F5CBB"/>
    <w:rsid w:val="0040219C"/>
    <w:rsid w:val="0040679A"/>
    <w:rsid w:val="00406AB7"/>
    <w:rsid w:val="00416C21"/>
    <w:rsid w:val="00423CEB"/>
    <w:rsid w:val="00434C7E"/>
    <w:rsid w:val="00440FDD"/>
    <w:rsid w:val="004525E1"/>
    <w:rsid w:val="004559D3"/>
    <w:rsid w:val="00463561"/>
    <w:rsid w:val="00471328"/>
    <w:rsid w:val="004720FA"/>
    <w:rsid w:val="004B203B"/>
    <w:rsid w:val="004B3B06"/>
    <w:rsid w:val="004C4277"/>
    <w:rsid w:val="004E5439"/>
    <w:rsid w:val="004E619F"/>
    <w:rsid w:val="004E64E2"/>
    <w:rsid w:val="004F1C0F"/>
    <w:rsid w:val="00524EB0"/>
    <w:rsid w:val="00532AB7"/>
    <w:rsid w:val="00536329"/>
    <w:rsid w:val="00544E4C"/>
    <w:rsid w:val="00553F39"/>
    <w:rsid w:val="00556E60"/>
    <w:rsid w:val="00566630"/>
    <w:rsid w:val="00583DA9"/>
    <w:rsid w:val="00585084"/>
    <w:rsid w:val="005A2C26"/>
    <w:rsid w:val="005B514B"/>
    <w:rsid w:val="005C3375"/>
    <w:rsid w:val="005C788E"/>
    <w:rsid w:val="005D1711"/>
    <w:rsid w:val="005D4C94"/>
    <w:rsid w:val="005D6503"/>
    <w:rsid w:val="005D6F46"/>
    <w:rsid w:val="005D7B5B"/>
    <w:rsid w:val="005E5302"/>
    <w:rsid w:val="005F5DB2"/>
    <w:rsid w:val="0062142E"/>
    <w:rsid w:val="0063567C"/>
    <w:rsid w:val="0066775B"/>
    <w:rsid w:val="00671AAE"/>
    <w:rsid w:val="0068221D"/>
    <w:rsid w:val="006826C3"/>
    <w:rsid w:val="00683168"/>
    <w:rsid w:val="0069229C"/>
    <w:rsid w:val="006A64E2"/>
    <w:rsid w:val="006B1101"/>
    <w:rsid w:val="006C02B5"/>
    <w:rsid w:val="00705D68"/>
    <w:rsid w:val="007122E6"/>
    <w:rsid w:val="00720D6D"/>
    <w:rsid w:val="00724BEA"/>
    <w:rsid w:val="00736007"/>
    <w:rsid w:val="007443A2"/>
    <w:rsid w:val="00760EDC"/>
    <w:rsid w:val="007611D0"/>
    <w:rsid w:val="00762E78"/>
    <w:rsid w:val="00773075"/>
    <w:rsid w:val="00786BB1"/>
    <w:rsid w:val="00786C26"/>
    <w:rsid w:val="007A6D51"/>
    <w:rsid w:val="007B2DBD"/>
    <w:rsid w:val="007B3109"/>
    <w:rsid w:val="007B4E57"/>
    <w:rsid w:val="007B72D5"/>
    <w:rsid w:val="007D28CA"/>
    <w:rsid w:val="007E06BB"/>
    <w:rsid w:val="007E5480"/>
    <w:rsid w:val="00800F6A"/>
    <w:rsid w:val="0080513A"/>
    <w:rsid w:val="00807D67"/>
    <w:rsid w:val="00830C43"/>
    <w:rsid w:val="00840088"/>
    <w:rsid w:val="00840B4A"/>
    <w:rsid w:val="008570D7"/>
    <w:rsid w:val="00865C7A"/>
    <w:rsid w:val="0086642A"/>
    <w:rsid w:val="0087060B"/>
    <w:rsid w:val="008850FB"/>
    <w:rsid w:val="00891675"/>
    <w:rsid w:val="0089471C"/>
    <w:rsid w:val="008A5509"/>
    <w:rsid w:val="008C261D"/>
    <w:rsid w:val="008C32CC"/>
    <w:rsid w:val="008C3ACA"/>
    <w:rsid w:val="008E444A"/>
    <w:rsid w:val="008E5DBF"/>
    <w:rsid w:val="008E606A"/>
    <w:rsid w:val="008F01AF"/>
    <w:rsid w:val="008F4FEF"/>
    <w:rsid w:val="00901E8C"/>
    <w:rsid w:val="009024DF"/>
    <w:rsid w:val="00904BBD"/>
    <w:rsid w:val="00905D70"/>
    <w:rsid w:val="00917407"/>
    <w:rsid w:val="009201D1"/>
    <w:rsid w:val="00927BEF"/>
    <w:rsid w:val="00932B59"/>
    <w:rsid w:val="00932BC6"/>
    <w:rsid w:val="00941E08"/>
    <w:rsid w:val="00946C6A"/>
    <w:rsid w:val="00947D81"/>
    <w:rsid w:val="00960785"/>
    <w:rsid w:val="009703DB"/>
    <w:rsid w:val="009720DF"/>
    <w:rsid w:val="00972D3C"/>
    <w:rsid w:val="00973A6D"/>
    <w:rsid w:val="00975B1A"/>
    <w:rsid w:val="009761D9"/>
    <w:rsid w:val="0097719C"/>
    <w:rsid w:val="00985C7E"/>
    <w:rsid w:val="00990459"/>
    <w:rsid w:val="00991CBC"/>
    <w:rsid w:val="00993D0D"/>
    <w:rsid w:val="009978F4"/>
    <w:rsid w:val="009B47DD"/>
    <w:rsid w:val="009C5B81"/>
    <w:rsid w:val="009C6F87"/>
    <w:rsid w:val="009D300B"/>
    <w:rsid w:val="009E5E5C"/>
    <w:rsid w:val="00A004C4"/>
    <w:rsid w:val="00A018A0"/>
    <w:rsid w:val="00A029E7"/>
    <w:rsid w:val="00A108DB"/>
    <w:rsid w:val="00A24050"/>
    <w:rsid w:val="00A24489"/>
    <w:rsid w:val="00A2581D"/>
    <w:rsid w:val="00A60694"/>
    <w:rsid w:val="00A76779"/>
    <w:rsid w:val="00A86E2C"/>
    <w:rsid w:val="00AB4D14"/>
    <w:rsid w:val="00AB77FB"/>
    <w:rsid w:val="00AB7930"/>
    <w:rsid w:val="00AE1B9E"/>
    <w:rsid w:val="00AE4257"/>
    <w:rsid w:val="00AE51EF"/>
    <w:rsid w:val="00AF50EF"/>
    <w:rsid w:val="00B024BA"/>
    <w:rsid w:val="00B0713B"/>
    <w:rsid w:val="00B10EE6"/>
    <w:rsid w:val="00B329E2"/>
    <w:rsid w:val="00B33B48"/>
    <w:rsid w:val="00B33F4A"/>
    <w:rsid w:val="00B47656"/>
    <w:rsid w:val="00B50A3F"/>
    <w:rsid w:val="00B657A0"/>
    <w:rsid w:val="00B65A3E"/>
    <w:rsid w:val="00B72A34"/>
    <w:rsid w:val="00B7327C"/>
    <w:rsid w:val="00B77080"/>
    <w:rsid w:val="00B9584F"/>
    <w:rsid w:val="00BC3417"/>
    <w:rsid w:val="00BC547E"/>
    <w:rsid w:val="00BD40BD"/>
    <w:rsid w:val="00BD4D44"/>
    <w:rsid w:val="00BD4E9A"/>
    <w:rsid w:val="00BD6D92"/>
    <w:rsid w:val="00BF2118"/>
    <w:rsid w:val="00BF35BC"/>
    <w:rsid w:val="00C04852"/>
    <w:rsid w:val="00C07008"/>
    <w:rsid w:val="00C10DE6"/>
    <w:rsid w:val="00C11B67"/>
    <w:rsid w:val="00C12950"/>
    <w:rsid w:val="00C313DA"/>
    <w:rsid w:val="00C41993"/>
    <w:rsid w:val="00C435AF"/>
    <w:rsid w:val="00C441DA"/>
    <w:rsid w:val="00C54EF3"/>
    <w:rsid w:val="00C55169"/>
    <w:rsid w:val="00C60722"/>
    <w:rsid w:val="00C639FC"/>
    <w:rsid w:val="00C91D54"/>
    <w:rsid w:val="00C95E79"/>
    <w:rsid w:val="00C96A6C"/>
    <w:rsid w:val="00CB70B1"/>
    <w:rsid w:val="00CB7879"/>
    <w:rsid w:val="00CE4D8E"/>
    <w:rsid w:val="00CE6324"/>
    <w:rsid w:val="00CE7C6D"/>
    <w:rsid w:val="00D0397B"/>
    <w:rsid w:val="00D04850"/>
    <w:rsid w:val="00D0677A"/>
    <w:rsid w:val="00D10A5D"/>
    <w:rsid w:val="00D16C13"/>
    <w:rsid w:val="00D32BC8"/>
    <w:rsid w:val="00D42442"/>
    <w:rsid w:val="00D47E18"/>
    <w:rsid w:val="00D7134F"/>
    <w:rsid w:val="00D91B3F"/>
    <w:rsid w:val="00DB7438"/>
    <w:rsid w:val="00DC53CF"/>
    <w:rsid w:val="00DD038E"/>
    <w:rsid w:val="00DE3BC7"/>
    <w:rsid w:val="00DE3DFA"/>
    <w:rsid w:val="00E04E31"/>
    <w:rsid w:val="00E07556"/>
    <w:rsid w:val="00E12D44"/>
    <w:rsid w:val="00E2671D"/>
    <w:rsid w:val="00E26F68"/>
    <w:rsid w:val="00E6024D"/>
    <w:rsid w:val="00E60591"/>
    <w:rsid w:val="00E65415"/>
    <w:rsid w:val="00E655B9"/>
    <w:rsid w:val="00E66C6E"/>
    <w:rsid w:val="00E92C27"/>
    <w:rsid w:val="00EA05AD"/>
    <w:rsid w:val="00ED118D"/>
    <w:rsid w:val="00EF3187"/>
    <w:rsid w:val="00F00863"/>
    <w:rsid w:val="00F00EE7"/>
    <w:rsid w:val="00F01932"/>
    <w:rsid w:val="00F15D95"/>
    <w:rsid w:val="00F259BE"/>
    <w:rsid w:val="00F30178"/>
    <w:rsid w:val="00F3539D"/>
    <w:rsid w:val="00F379D8"/>
    <w:rsid w:val="00F64584"/>
    <w:rsid w:val="00F7011C"/>
    <w:rsid w:val="00F76DF4"/>
    <w:rsid w:val="00FB5D0B"/>
    <w:rsid w:val="00FD043C"/>
    <w:rsid w:val="00FD2F1D"/>
    <w:rsid w:val="00FF2E86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62284E42"/>
  <w15:docId w15:val="{B5DB29F6-B511-4B06-AF0F-2B2EBC58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2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3747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2022-02-14T16:33:00Z</cp:lastPrinted>
  <dcterms:created xsi:type="dcterms:W3CDTF">2023-07-26T13:09:00Z</dcterms:created>
  <dcterms:modified xsi:type="dcterms:W3CDTF">2023-07-26T13:09:00Z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