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D54D20">
            <w:pPr>
              <w:pStyle w:val="Titolo1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Pr="004D1EEA" w:rsidRDefault="00C12950" w:rsidP="00A029E7">
            <w:pPr>
              <w:pStyle w:val="Titolo1"/>
              <w:ind w:right="212"/>
              <w:jc w:val="both"/>
              <w:rPr>
                <w:color w:val="000000" w:themeColor="text1"/>
                <w:sz w:val="18"/>
              </w:rPr>
            </w:pPr>
            <w:r w:rsidRPr="004D1EEA">
              <w:rPr>
                <w:color w:val="000000" w:themeColor="text1"/>
                <w:sz w:val="18"/>
              </w:rPr>
              <w:t>Acimall</w:t>
            </w:r>
          </w:p>
          <w:p w14:paraId="74123824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Centro Direzionale Milanofiori</w:t>
            </w:r>
          </w:p>
          <w:p w14:paraId="7A00A7EC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Strada</w:t>
            </w:r>
            <w:r w:rsidR="000C5C5F" w:rsidRPr="004D1EEA">
              <w:rPr>
                <w:rFonts w:ascii="Helvetica" w:hAnsi="Helvetica"/>
                <w:color w:val="000000" w:themeColor="text1"/>
                <w:sz w:val="16"/>
              </w:rPr>
              <w:t xml:space="preserve"> 1</w:t>
            </w:r>
            <w:r w:rsidRPr="004D1EEA">
              <w:rPr>
                <w:rFonts w:ascii="Helvetica" w:hAnsi="Helvetica"/>
                <w:color w:val="000000" w:themeColor="text1"/>
                <w:sz w:val="16"/>
              </w:rPr>
              <w:t xml:space="preserve"> - Palazzo F3</w:t>
            </w:r>
          </w:p>
          <w:p w14:paraId="063709D7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I-20090 Assago (Milano)</w:t>
            </w:r>
          </w:p>
          <w:p w14:paraId="08812F63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phone +39 02 89210200</w:t>
            </w:r>
          </w:p>
          <w:p w14:paraId="5F0397DE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fax +39 02 8259009</w:t>
            </w:r>
          </w:p>
          <w:p w14:paraId="27E6149D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www.acimall.com</w:t>
            </w:r>
          </w:p>
          <w:p w14:paraId="40B19344" w14:textId="77777777" w:rsidR="00C12950" w:rsidRPr="004D1EEA" w:rsidRDefault="00C12950" w:rsidP="00A029E7">
            <w:pPr>
              <w:ind w:right="212"/>
              <w:jc w:val="both"/>
              <w:rPr>
                <w:color w:val="000000" w:themeColor="text1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3101CCB7" w:rsidR="00C12950" w:rsidRPr="004D1EEA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color w:val="000000" w:themeColor="text1"/>
                <w:sz w:val="28"/>
              </w:rPr>
            </w:pPr>
            <w:r w:rsidRPr="004D1EEA"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 xml:space="preserve"> </w:t>
            </w:r>
            <w:r w:rsidR="00C12950" w:rsidRPr="004D1EEA"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 xml:space="preserve">ufficio </w:t>
            </w:r>
            <w:r w:rsidR="00C12950" w:rsidRPr="004D1EEA">
              <w:rPr>
                <w:rFonts w:ascii="Helvetica" w:hAnsi="Helvetica"/>
                <w:b/>
                <w:color w:val="000000" w:themeColor="text1"/>
                <w:sz w:val="28"/>
              </w:rPr>
              <w:t>stampa</w:t>
            </w:r>
          </w:p>
          <w:p w14:paraId="70852C71" w14:textId="2AC3C455" w:rsidR="00C12950" w:rsidRPr="004D1EEA" w:rsidRDefault="004D1EEA" w:rsidP="008408C9">
            <w:pPr>
              <w:ind w:left="-142" w:right="212"/>
              <w:jc w:val="right"/>
              <w:rPr>
                <w:rFonts w:ascii="Gill Sans MT" w:hAnsi="Gill Sans MT"/>
                <w:b/>
                <w:color w:val="000000" w:themeColor="text1"/>
                <w:sz w:val="14"/>
              </w:rPr>
            </w:pPr>
            <w:r w:rsidRPr="004D1EEA">
              <w:rPr>
                <w:rFonts w:ascii="Helvetica" w:hAnsi="Helvetica"/>
                <w:color w:val="000000" w:themeColor="text1"/>
                <w:sz w:val="14"/>
              </w:rPr>
              <w:t>1</w:t>
            </w:r>
            <w:r w:rsidR="00C47847">
              <w:rPr>
                <w:rFonts w:ascii="Helvetica" w:hAnsi="Helvetica"/>
                <w:color w:val="000000" w:themeColor="text1"/>
                <w:sz w:val="14"/>
              </w:rPr>
              <w:t>2</w:t>
            </w:r>
            <w:r w:rsidR="00F50033">
              <w:rPr>
                <w:rFonts w:ascii="Helvetica" w:hAnsi="Helvetica"/>
                <w:color w:val="000000" w:themeColor="text1"/>
                <w:sz w:val="14"/>
              </w:rPr>
              <w:t xml:space="preserve"> dicembre</w:t>
            </w:r>
            <w:r w:rsidR="005D6F46" w:rsidRPr="004D1EEA">
              <w:rPr>
                <w:rFonts w:ascii="Helvetica" w:hAnsi="Helvetica"/>
                <w:color w:val="000000" w:themeColor="text1"/>
                <w:sz w:val="14"/>
              </w:rPr>
              <w:t xml:space="preserve"> 202</w:t>
            </w:r>
            <w:r w:rsidR="00C47847">
              <w:rPr>
                <w:rFonts w:ascii="Helvetica" w:hAnsi="Helvetica"/>
                <w:color w:val="000000" w:themeColor="text1"/>
                <w:sz w:val="14"/>
              </w:rPr>
              <w:t>3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F431D0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1527D40E" w14:textId="00AD6CED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8386A96" w14:textId="77777777" w:rsidR="00EF3187" w:rsidRDefault="00EF3187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4DF9640" w14:textId="77777777" w:rsidR="009D300B" w:rsidRDefault="009D300B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B33B4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1A40873F" w14:textId="1D8C9A7E" w:rsidR="00BC3417" w:rsidRDefault="00F50033" w:rsidP="006C6701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6C6701">
        <w:rPr>
          <w:rFonts w:ascii="Arial" w:hAnsi="Arial" w:cs="Arial"/>
          <w:b/>
          <w:color w:val="000000" w:themeColor="text1"/>
          <w:sz w:val="20"/>
        </w:rPr>
        <w:t>TECNOLOGIE PER LA LAVORAZIONE DEL LEGNO E L’INDUSTRIA DEL MOBILE</w:t>
      </w:r>
      <w:r w:rsidR="006C6701">
        <w:rPr>
          <w:rFonts w:ascii="Arial" w:hAnsi="Arial" w:cs="Arial"/>
          <w:b/>
          <w:color w:val="000000" w:themeColor="text1"/>
          <w:sz w:val="20"/>
        </w:rPr>
        <w:t>:</w:t>
      </w:r>
    </w:p>
    <w:p w14:paraId="0C6B57EF" w14:textId="0A6FB80D" w:rsidR="006C6701" w:rsidRPr="006C6701" w:rsidRDefault="006C6701" w:rsidP="006C6701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 xml:space="preserve">UN 2023 ANCORA POSITIVO (più 3,5 per cento) </w:t>
      </w:r>
      <w:r w:rsidR="00224F54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7C63C18B" w14:textId="1499E318" w:rsidR="007E06BB" w:rsidRPr="006C6701" w:rsidRDefault="007E06BB" w:rsidP="006C6701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34D89D4" w14:textId="77777777" w:rsidR="00EF3187" w:rsidRPr="006C6701" w:rsidRDefault="00EF3187" w:rsidP="006C6701">
      <w:pPr>
        <w:tabs>
          <w:tab w:val="left" w:pos="142"/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CF97A94" w14:textId="69D7C38B" w:rsidR="006C6701" w:rsidRPr="006C6701" w:rsidRDefault="00A87956" w:rsidP="006C6701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</w:t>
      </w:r>
      <w:r w:rsidR="006C6701">
        <w:rPr>
          <w:rFonts w:ascii="Arial" w:hAnsi="Arial" w:cs="Arial"/>
          <w:sz w:val="20"/>
        </w:rPr>
        <w:t xml:space="preserve"> </w:t>
      </w:r>
      <w:r w:rsidR="006C6701" w:rsidRPr="006C6701">
        <w:rPr>
          <w:rFonts w:ascii="Arial" w:hAnsi="Arial" w:cs="Arial"/>
          <w:sz w:val="20"/>
        </w:rPr>
        <w:t>preconsuntiv</w:t>
      </w:r>
      <w:r w:rsidR="006C6701">
        <w:rPr>
          <w:rFonts w:ascii="Arial" w:hAnsi="Arial" w:cs="Arial"/>
          <w:sz w:val="20"/>
        </w:rPr>
        <w:t>o</w:t>
      </w:r>
      <w:r w:rsidR="006C6701" w:rsidRPr="006C6701">
        <w:rPr>
          <w:rFonts w:ascii="Arial" w:hAnsi="Arial" w:cs="Arial"/>
          <w:sz w:val="20"/>
        </w:rPr>
        <w:t xml:space="preserve"> 2023 </w:t>
      </w:r>
      <w:r w:rsidR="006C6701">
        <w:rPr>
          <w:rFonts w:ascii="Arial" w:hAnsi="Arial" w:cs="Arial"/>
          <w:sz w:val="20"/>
        </w:rPr>
        <w:t>elaborat</w:t>
      </w:r>
      <w:r>
        <w:rPr>
          <w:rFonts w:ascii="Arial" w:hAnsi="Arial" w:cs="Arial"/>
          <w:sz w:val="20"/>
        </w:rPr>
        <w:t>o</w:t>
      </w:r>
      <w:r w:rsidR="006C6701">
        <w:rPr>
          <w:rFonts w:ascii="Arial" w:hAnsi="Arial" w:cs="Arial"/>
          <w:sz w:val="20"/>
        </w:rPr>
        <w:t xml:space="preserve"> dall’Ufficio studi di Acimall </w:t>
      </w:r>
      <w:r w:rsidR="006C6701" w:rsidRPr="006C6701">
        <w:rPr>
          <w:rFonts w:ascii="Arial" w:hAnsi="Arial" w:cs="Arial"/>
          <w:sz w:val="20"/>
        </w:rPr>
        <w:t xml:space="preserve">mostra una crescita del 3,5 per cento della </w:t>
      </w:r>
      <w:r w:rsidR="006C6701" w:rsidRPr="006C6701">
        <w:rPr>
          <w:rFonts w:ascii="Arial" w:hAnsi="Arial" w:cs="Arial"/>
          <w:b/>
          <w:bCs/>
          <w:sz w:val="20"/>
        </w:rPr>
        <w:t>produzione</w:t>
      </w:r>
      <w:r w:rsidR="006C6701" w:rsidRPr="006C6701">
        <w:rPr>
          <w:rFonts w:ascii="Arial" w:hAnsi="Arial" w:cs="Arial"/>
          <w:sz w:val="20"/>
        </w:rPr>
        <w:t xml:space="preserve"> rispetto al 2022. Nonostante, dunque, un andamento degli </w:t>
      </w:r>
      <w:r w:rsidR="006C6701" w:rsidRPr="006C6701">
        <w:rPr>
          <w:rFonts w:ascii="Arial" w:hAnsi="Arial" w:cs="Arial"/>
          <w:b/>
          <w:bCs/>
          <w:sz w:val="20"/>
        </w:rPr>
        <w:t>ordini</w:t>
      </w:r>
      <w:r w:rsidR="006C6701" w:rsidRPr="006C6701">
        <w:rPr>
          <w:rFonts w:ascii="Arial" w:hAnsi="Arial" w:cs="Arial"/>
          <w:sz w:val="20"/>
        </w:rPr>
        <w:t xml:space="preserve"> decisamente meno soddisfacente rispetto agli ottimi dati degli anni scorsi, le aziende disponevano e dispongono ancora di un robusto portafoglio ordini che ha consentito loro di incrementare il proprio fatturato anche nell’anno che sta per concludersi.</w:t>
      </w:r>
    </w:p>
    <w:p w14:paraId="59E029CD" w14:textId="03D3663C" w:rsidR="006C6701" w:rsidRPr="006C6701" w:rsidRDefault="006C6701" w:rsidP="006C6701">
      <w:pPr>
        <w:ind w:left="426"/>
        <w:rPr>
          <w:rFonts w:ascii="Arial" w:hAnsi="Arial" w:cs="Arial"/>
          <w:sz w:val="20"/>
        </w:rPr>
      </w:pPr>
      <w:r w:rsidRPr="006C6701">
        <w:rPr>
          <w:rFonts w:ascii="Arial" w:hAnsi="Arial" w:cs="Arial"/>
          <w:sz w:val="20"/>
        </w:rPr>
        <w:t>Un risultato che</w:t>
      </w:r>
      <w:r>
        <w:rPr>
          <w:rFonts w:ascii="Arial" w:hAnsi="Arial" w:cs="Arial"/>
          <w:sz w:val="20"/>
        </w:rPr>
        <w:t xml:space="preserve"> –</w:t>
      </w:r>
      <w:r w:rsidRPr="006C6701">
        <w:rPr>
          <w:rFonts w:ascii="Arial" w:hAnsi="Arial" w:cs="Arial"/>
          <w:sz w:val="20"/>
        </w:rPr>
        <w:t xml:space="preserve"> se aggiunto al più 5,3 per cento registrato nel 2022 sull’anno record 2021</w:t>
      </w:r>
      <w:r>
        <w:rPr>
          <w:rFonts w:ascii="Arial" w:hAnsi="Arial" w:cs="Arial"/>
          <w:sz w:val="20"/>
        </w:rPr>
        <w:t xml:space="preserve"> –</w:t>
      </w:r>
      <w:r w:rsidRPr="006C6701">
        <w:rPr>
          <w:rFonts w:ascii="Arial" w:hAnsi="Arial" w:cs="Arial"/>
          <w:sz w:val="20"/>
        </w:rPr>
        <w:t xml:space="preserve"> testimonia lo stato di salute delle imprese di settore, che hanno avuto modo di investire e consolidare la propria posizione in Italia e, come tradizione, nei mercati di tutto il mondo.</w:t>
      </w:r>
    </w:p>
    <w:p w14:paraId="07B0737E" w14:textId="59CF37D9" w:rsidR="006C6701" w:rsidRPr="006C6701" w:rsidRDefault="006C6701" w:rsidP="006C6701">
      <w:pPr>
        <w:ind w:left="426"/>
        <w:rPr>
          <w:rFonts w:ascii="Arial" w:hAnsi="Arial" w:cs="Arial"/>
          <w:sz w:val="20"/>
        </w:rPr>
      </w:pPr>
      <w:r w:rsidRPr="006C6701">
        <w:rPr>
          <w:rFonts w:ascii="Arial" w:hAnsi="Arial" w:cs="Arial"/>
          <w:sz w:val="20"/>
        </w:rPr>
        <w:t xml:space="preserve">Il valore della produzione si attesta dunque a </w:t>
      </w:r>
      <w:r w:rsidRPr="006C6701">
        <w:rPr>
          <w:rFonts w:ascii="Arial" w:hAnsi="Arial" w:cs="Arial"/>
          <w:b/>
          <w:bCs/>
          <w:sz w:val="20"/>
        </w:rPr>
        <w:t>2.740 milioni di euro</w:t>
      </w:r>
      <w:r w:rsidRPr="006C6701">
        <w:rPr>
          <w:rFonts w:ascii="Arial" w:hAnsi="Arial" w:cs="Arial"/>
          <w:sz w:val="20"/>
        </w:rPr>
        <w:t xml:space="preserve">, un dato che non tiene conto dell’inflazione ma è comunque il </w:t>
      </w:r>
      <w:r w:rsidRPr="006C6701">
        <w:rPr>
          <w:rFonts w:ascii="Arial" w:hAnsi="Arial" w:cs="Arial"/>
          <w:b/>
          <w:bCs/>
          <w:sz w:val="20"/>
        </w:rPr>
        <w:t>record storico</w:t>
      </w:r>
      <w:r w:rsidRPr="006C6701">
        <w:rPr>
          <w:rFonts w:ascii="Arial" w:hAnsi="Arial" w:cs="Arial"/>
          <w:sz w:val="20"/>
        </w:rPr>
        <w:t xml:space="preserve"> per il settore delle macchine per la lavorazione del legno, in una stagione che vede tutti i comparti della meccanica industriale, macchine utensili in primis, vivere la medesima situazione.</w:t>
      </w:r>
    </w:p>
    <w:p w14:paraId="174B7055" w14:textId="77777777" w:rsidR="006C6701" w:rsidRPr="006C6701" w:rsidRDefault="006C6701" w:rsidP="006C6701">
      <w:pPr>
        <w:ind w:left="426"/>
        <w:rPr>
          <w:rFonts w:ascii="Arial" w:hAnsi="Arial" w:cs="Arial"/>
          <w:sz w:val="20"/>
        </w:rPr>
      </w:pPr>
    </w:p>
    <w:p w14:paraId="44213243" w14:textId="25D6A306" w:rsidR="006C6701" w:rsidRPr="006C6701" w:rsidRDefault="006C6701" w:rsidP="006C6701">
      <w:pPr>
        <w:ind w:left="426"/>
        <w:rPr>
          <w:rFonts w:ascii="Arial" w:hAnsi="Arial" w:cs="Arial"/>
          <w:sz w:val="20"/>
        </w:rPr>
      </w:pPr>
      <w:r w:rsidRPr="006C6701">
        <w:rPr>
          <w:rFonts w:ascii="Arial" w:hAnsi="Arial" w:cs="Arial"/>
          <w:sz w:val="20"/>
        </w:rPr>
        <w:t>Le</w:t>
      </w:r>
      <w:r w:rsidRPr="006C6701">
        <w:rPr>
          <w:rFonts w:ascii="Arial" w:hAnsi="Arial" w:cs="Arial"/>
          <w:b/>
          <w:bCs/>
          <w:sz w:val="20"/>
        </w:rPr>
        <w:t xml:space="preserve"> esportazioni</w:t>
      </w:r>
      <w:r w:rsidRPr="006C6701">
        <w:rPr>
          <w:rFonts w:ascii="Arial" w:hAnsi="Arial" w:cs="Arial"/>
          <w:sz w:val="20"/>
        </w:rPr>
        <w:t xml:space="preserve"> </w:t>
      </w:r>
      <w:r w:rsidRPr="006C6701">
        <w:rPr>
          <w:rFonts w:ascii="Arial" w:hAnsi="Arial" w:cs="Arial"/>
          <w:sz w:val="20"/>
        </w:rPr>
        <w:softHyphen/>
        <w:t>– che, non dimentichiamolo, rappresentano circa il 70 per cento del totale – sono cresciute del 7 per cento (1.935 milioni di euro in valore)</w:t>
      </w:r>
      <w:r w:rsidR="00A87956">
        <w:rPr>
          <w:rFonts w:ascii="Arial" w:hAnsi="Arial" w:cs="Arial"/>
          <w:sz w:val="20"/>
        </w:rPr>
        <w:t>,</w:t>
      </w:r>
      <w:r w:rsidRPr="006C6701">
        <w:rPr>
          <w:rFonts w:ascii="Arial" w:hAnsi="Arial" w:cs="Arial"/>
          <w:sz w:val="20"/>
        </w:rPr>
        <w:t xml:space="preserve"> </w:t>
      </w:r>
      <w:r w:rsidR="00A87956">
        <w:rPr>
          <w:rFonts w:ascii="Arial" w:hAnsi="Arial" w:cs="Arial"/>
          <w:sz w:val="20"/>
        </w:rPr>
        <w:t>mentre le</w:t>
      </w:r>
      <w:r w:rsidRPr="006C670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vendite sul</w:t>
      </w:r>
      <w:r w:rsidRPr="006C6701">
        <w:rPr>
          <w:rFonts w:ascii="Arial" w:hAnsi="Arial" w:cs="Arial"/>
          <w:sz w:val="20"/>
        </w:rPr>
        <w:t xml:space="preserve"> </w:t>
      </w:r>
      <w:r w:rsidRPr="006C6701">
        <w:rPr>
          <w:rFonts w:ascii="Arial" w:hAnsi="Arial" w:cs="Arial"/>
          <w:b/>
          <w:bCs/>
          <w:sz w:val="20"/>
        </w:rPr>
        <w:t>mercato interno</w:t>
      </w:r>
      <w:r w:rsidRPr="006C6701">
        <w:rPr>
          <w:rFonts w:ascii="Arial" w:hAnsi="Arial" w:cs="Arial"/>
          <w:sz w:val="20"/>
        </w:rPr>
        <w:t xml:space="preserve"> </w:t>
      </w:r>
      <w:r w:rsidR="00A87956">
        <w:rPr>
          <w:rFonts w:ascii="Arial" w:hAnsi="Arial" w:cs="Arial"/>
          <w:sz w:val="20"/>
        </w:rPr>
        <w:t xml:space="preserve">sono </w:t>
      </w:r>
      <w:r w:rsidRPr="006C6701">
        <w:rPr>
          <w:rFonts w:ascii="Arial" w:hAnsi="Arial" w:cs="Arial"/>
          <w:sz w:val="20"/>
        </w:rPr>
        <w:t xml:space="preserve">in contrazione (805 milioni, meno 4 per cento rispetto al 2022), </w:t>
      </w:r>
      <w:r>
        <w:rPr>
          <w:rFonts w:ascii="Arial" w:hAnsi="Arial" w:cs="Arial"/>
          <w:sz w:val="20"/>
        </w:rPr>
        <w:t xml:space="preserve">situazione </w:t>
      </w:r>
      <w:r w:rsidRPr="006C6701">
        <w:rPr>
          <w:rFonts w:ascii="Arial" w:hAnsi="Arial" w:cs="Arial"/>
          <w:sz w:val="20"/>
        </w:rPr>
        <w:t>confermat</w:t>
      </w:r>
      <w:r>
        <w:rPr>
          <w:rFonts w:ascii="Arial" w:hAnsi="Arial" w:cs="Arial"/>
          <w:sz w:val="20"/>
        </w:rPr>
        <w:t>a</w:t>
      </w:r>
      <w:r w:rsidRPr="006C6701">
        <w:rPr>
          <w:rFonts w:ascii="Arial" w:hAnsi="Arial" w:cs="Arial"/>
          <w:sz w:val="20"/>
        </w:rPr>
        <w:t xml:space="preserve"> anche dalla robusta </w:t>
      </w:r>
      <w:r w:rsidR="00A87956">
        <w:rPr>
          <w:rFonts w:ascii="Arial" w:hAnsi="Arial" w:cs="Arial"/>
          <w:sz w:val="20"/>
        </w:rPr>
        <w:t>diminuzione</w:t>
      </w:r>
      <w:r w:rsidRPr="006C6701">
        <w:rPr>
          <w:rFonts w:ascii="Arial" w:hAnsi="Arial" w:cs="Arial"/>
          <w:sz w:val="20"/>
        </w:rPr>
        <w:t xml:space="preserve"> delle </w:t>
      </w:r>
      <w:r w:rsidRPr="006C6701">
        <w:rPr>
          <w:rFonts w:ascii="Arial" w:hAnsi="Arial" w:cs="Arial"/>
          <w:b/>
          <w:bCs/>
          <w:sz w:val="20"/>
        </w:rPr>
        <w:t>importazioni</w:t>
      </w:r>
      <w:r w:rsidRPr="006C6701">
        <w:rPr>
          <w:rFonts w:ascii="Arial" w:hAnsi="Arial" w:cs="Arial"/>
          <w:sz w:val="20"/>
        </w:rPr>
        <w:t xml:space="preserve"> (270 milioni in valore, meno 7 per cento rispetto ai dodici mesi precedenti). </w:t>
      </w:r>
    </w:p>
    <w:p w14:paraId="489215D2" w14:textId="22C71E0F" w:rsidR="006C6701" w:rsidRDefault="006C6701" w:rsidP="006C6701">
      <w:pPr>
        <w:ind w:left="426"/>
        <w:rPr>
          <w:rFonts w:ascii="Arial" w:hAnsi="Arial" w:cs="Arial"/>
          <w:sz w:val="20"/>
        </w:rPr>
      </w:pPr>
      <w:r w:rsidRPr="006C6701">
        <w:rPr>
          <w:rFonts w:ascii="Arial" w:hAnsi="Arial" w:cs="Arial"/>
          <w:sz w:val="20"/>
        </w:rPr>
        <w:t xml:space="preserve">Il </w:t>
      </w:r>
      <w:r w:rsidRPr="006C6701">
        <w:rPr>
          <w:rFonts w:ascii="Arial" w:hAnsi="Arial" w:cs="Arial"/>
          <w:b/>
          <w:bCs/>
          <w:sz w:val="20"/>
        </w:rPr>
        <w:t>mercato italiano</w:t>
      </w:r>
      <w:r w:rsidRPr="006C6701">
        <w:rPr>
          <w:rFonts w:ascii="Arial" w:hAnsi="Arial" w:cs="Arial"/>
          <w:sz w:val="20"/>
        </w:rPr>
        <w:t xml:space="preserve"> conferma </w:t>
      </w:r>
      <w:r>
        <w:rPr>
          <w:rFonts w:ascii="Arial" w:hAnsi="Arial" w:cs="Arial"/>
          <w:sz w:val="20"/>
        </w:rPr>
        <w:t xml:space="preserve">dunque </w:t>
      </w:r>
      <w:r w:rsidRPr="006C6701">
        <w:rPr>
          <w:rFonts w:ascii="Arial" w:hAnsi="Arial" w:cs="Arial"/>
          <w:sz w:val="20"/>
        </w:rPr>
        <w:t>di attraversare un momento meno positivo</w:t>
      </w:r>
      <w:r>
        <w:rPr>
          <w:rFonts w:ascii="Arial" w:hAnsi="Arial" w:cs="Arial"/>
          <w:sz w:val="20"/>
        </w:rPr>
        <w:t xml:space="preserve"> e non poteva essere diversamente</w:t>
      </w:r>
      <w:r w:rsidRPr="006C6701">
        <w:rPr>
          <w:rFonts w:ascii="Arial" w:hAnsi="Arial" w:cs="Arial"/>
          <w:sz w:val="20"/>
        </w:rPr>
        <w:t xml:space="preserve">, alla luce degli investimenti </w:t>
      </w:r>
      <w:r>
        <w:rPr>
          <w:rFonts w:ascii="Arial" w:hAnsi="Arial" w:cs="Arial"/>
          <w:sz w:val="20"/>
        </w:rPr>
        <w:t>degli utilizzatori</w:t>
      </w:r>
      <w:r w:rsidRPr="006C670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che </w:t>
      </w:r>
      <w:r w:rsidRPr="006C6701">
        <w:rPr>
          <w:rFonts w:ascii="Arial" w:hAnsi="Arial" w:cs="Arial"/>
          <w:sz w:val="20"/>
        </w:rPr>
        <w:t>negli ultimi anni hanno raggiunto livelli molto</w:t>
      </w:r>
      <w:r w:rsidR="00A87956">
        <w:rPr>
          <w:rFonts w:ascii="Arial" w:hAnsi="Arial" w:cs="Arial"/>
          <w:sz w:val="20"/>
        </w:rPr>
        <w:t xml:space="preserve"> </w:t>
      </w:r>
      <w:r w:rsidRPr="006C6701">
        <w:rPr>
          <w:rFonts w:ascii="Arial" w:hAnsi="Arial" w:cs="Arial"/>
          <w:sz w:val="20"/>
        </w:rPr>
        <w:t>importanti</w:t>
      </w:r>
      <w:r>
        <w:rPr>
          <w:rFonts w:ascii="Arial" w:hAnsi="Arial" w:cs="Arial"/>
          <w:sz w:val="20"/>
        </w:rPr>
        <w:t>, saturando di fatto il parco tecnologico attivo.</w:t>
      </w:r>
      <w:r w:rsidRPr="006C6701">
        <w:rPr>
          <w:rFonts w:ascii="Arial" w:hAnsi="Arial" w:cs="Arial"/>
          <w:sz w:val="20"/>
        </w:rPr>
        <w:t xml:space="preserve"> Una flessione </w:t>
      </w:r>
      <w:r>
        <w:rPr>
          <w:rFonts w:ascii="Arial" w:hAnsi="Arial" w:cs="Arial"/>
          <w:sz w:val="20"/>
        </w:rPr>
        <w:t xml:space="preserve">che può dunque essere definita </w:t>
      </w:r>
      <w:r w:rsidRPr="006C6701">
        <w:rPr>
          <w:rFonts w:ascii="Arial" w:hAnsi="Arial" w:cs="Arial"/>
          <w:sz w:val="20"/>
        </w:rPr>
        <w:t xml:space="preserve">fisiologica, attesa, </w:t>
      </w:r>
      <w:r>
        <w:rPr>
          <w:rFonts w:ascii="Arial" w:hAnsi="Arial" w:cs="Arial"/>
          <w:sz w:val="20"/>
        </w:rPr>
        <w:t>e</w:t>
      </w:r>
      <w:r w:rsidRPr="006C6701">
        <w:rPr>
          <w:rFonts w:ascii="Arial" w:hAnsi="Arial" w:cs="Arial"/>
          <w:sz w:val="20"/>
        </w:rPr>
        <w:t xml:space="preserve"> che deve </w:t>
      </w:r>
      <w:r>
        <w:rPr>
          <w:rFonts w:ascii="Arial" w:hAnsi="Arial" w:cs="Arial"/>
          <w:sz w:val="20"/>
        </w:rPr>
        <w:t xml:space="preserve">pertanto </w:t>
      </w:r>
      <w:r w:rsidRPr="006C6701">
        <w:rPr>
          <w:rFonts w:ascii="Arial" w:hAnsi="Arial" w:cs="Arial"/>
          <w:sz w:val="20"/>
        </w:rPr>
        <w:t>essere letta nella giusta luce.</w:t>
      </w:r>
    </w:p>
    <w:p w14:paraId="08AAA60E" w14:textId="77777777" w:rsidR="00A87956" w:rsidRDefault="00A87956" w:rsidP="00A87956">
      <w:pPr>
        <w:ind w:left="426"/>
        <w:rPr>
          <w:rFonts w:ascii="Arial" w:hAnsi="Arial" w:cs="Arial"/>
          <w:sz w:val="20"/>
        </w:rPr>
      </w:pPr>
      <w:r w:rsidRPr="006C6701">
        <w:rPr>
          <w:rFonts w:ascii="Arial" w:hAnsi="Arial" w:cs="Arial"/>
          <w:sz w:val="20"/>
        </w:rPr>
        <w:t>In calo di 4,3 punti percentuali</w:t>
      </w:r>
      <w:r>
        <w:rPr>
          <w:rFonts w:ascii="Arial" w:hAnsi="Arial" w:cs="Arial"/>
          <w:sz w:val="20"/>
        </w:rPr>
        <w:t>, infatti,</w:t>
      </w:r>
      <w:r w:rsidRPr="006C6701">
        <w:rPr>
          <w:rFonts w:ascii="Arial" w:hAnsi="Arial" w:cs="Arial"/>
          <w:sz w:val="20"/>
        </w:rPr>
        <w:t xml:space="preserve"> il </w:t>
      </w:r>
      <w:r w:rsidRPr="006C6701">
        <w:rPr>
          <w:rFonts w:ascii="Arial" w:hAnsi="Arial" w:cs="Arial"/>
          <w:b/>
          <w:bCs/>
          <w:sz w:val="20"/>
        </w:rPr>
        <w:t>consumo apparente</w:t>
      </w:r>
      <w:r w:rsidRPr="006C6701">
        <w:rPr>
          <w:rFonts w:ascii="Arial" w:hAnsi="Arial" w:cs="Arial"/>
          <w:sz w:val="20"/>
        </w:rPr>
        <w:t xml:space="preserve">, che si è attestato a 1.075 milioni di euro, </w:t>
      </w:r>
      <w:r>
        <w:rPr>
          <w:rFonts w:ascii="Arial" w:hAnsi="Arial" w:cs="Arial"/>
          <w:sz w:val="20"/>
        </w:rPr>
        <w:t>a dimostrazione</w:t>
      </w:r>
      <w:r w:rsidRPr="006C670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del</w:t>
      </w:r>
      <w:r w:rsidRPr="006C6701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 xml:space="preserve">a sempre forte domanda di tecnologie per il legno e il mobile </w:t>
      </w:r>
      <w:r w:rsidRPr="006C6701">
        <w:rPr>
          <w:rFonts w:ascii="Arial" w:hAnsi="Arial" w:cs="Arial"/>
          <w:sz w:val="20"/>
        </w:rPr>
        <w:t>dell’Italia, che si conferma il quarto mercato mondiale alle spalle di Cina, Stati Uniti e Germania, precedendo il Vietnam che si colloca in quinta posizione.</w:t>
      </w:r>
    </w:p>
    <w:p w14:paraId="47BF07B0" w14:textId="77777777" w:rsidR="00A87956" w:rsidRDefault="00A87956" w:rsidP="00A87956">
      <w:pPr>
        <w:ind w:left="426"/>
        <w:rPr>
          <w:rFonts w:ascii="Arial" w:hAnsi="Arial" w:cs="Arial"/>
          <w:sz w:val="20"/>
        </w:rPr>
      </w:pPr>
    </w:p>
    <w:p w14:paraId="0F59D5D8" w14:textId="15B12401" w:rsidR="006C6701" w:rsidRPr="006C6701" w:rsidRDefault="006C6701" w:rsidP="00A87956">
      <w:pPr>
        <w:ind w:left="426"/>
        <w:rPr>
          <w:rFonts w:ascii="Arial" w:hAnsi="Arial" w:cs="Arial"/>
          <w:sz w:val="20"/>
        </w:rPr>
      </w:pPr>
      <w:r w:rsidRPr="006C6701">
        <w:rPr>
          <w:rFonts w:ascii="Arial" w:hAnsi="Arial" w:cs="Arial"/>
          <w:sz w:val="20"/>
        </w:rPr>
        <w:t xml:space="preserve">Interessante rilevare che anche nel 2023 il mondo delle tecnologie per il legno e i suoi derivati continua a vantare una ottima performance in termini di </w:t>
      </w:r>
      <w:r w:rsidRPr="006C6701">
        <w:rPr>
          <w:rFonts w:ascii="Arial" w:hAnsi="Arial" w:cs="Arial"/>
          <w:b/>
          <w:bCs/>
          <w:sz w:val="20"/>
        </w:rPr>
        <w:t>bilancia commerciale</w:t>
      </w:r>
      <w:r w:rsidRPr="006C6701">
        <w:rPr>
          <w:rFonts w:ascii="Arial" w:hAnsi="Arial" w:cs="Arial"/>
          <w:sz w:val="20"/>
        </w:rPr>
        <w:t>, con un attivo pari a 1.665 milioni di euro, il 9,3 per cento in più rispetto al 2022; certamente uno dei risultati più significativi nell’intera galassia della produzione di macchine utensili e un contributo importante al dato nazionale.</w:t>
      </w:r>
    </w:p>
    <w:p w14:paraId="046D672F" w14:textId="77777777" w:rsidR="006C6701" w:rsidRPr="006C6701" w:rsidRDefault="006C6701" w:rsidP="006C6701">
      <w:pPr>
        <w:ind w:left="426"/>
        <w:rPr>
          <w:rFonts w:ascii="Arial" w:hAnsi="Arial" w:cs="Arial"/>
          <w:sz w:val="20"/>
        </w:rPr>
      </w:pPr>
    </w:p>
    <w:p w14:paraId="78FF860B" w14:textId="77777777" w:rsidR="006C6701" w:rsidRPr="006C6701" w:rsidRDefault="006C6701" w:rsidP="006C6701">
      <w:pPr>
        <w:ind w:left="426"/>
        <w:rPr>
          <w:rFonts w:ascii="Arial" w:hAnsi="Arial" w:cs="Arial"/>
          <w:sz w:val="20"/>
        </w:rPr>
      </w:pPr>
    </w:p>
    <w:p w14:paraId="7DC65A7D" w14:textId="77777777" w:rsidR="006C6701" w:rsidRPr="006C6701" w:rsidRDefault="006C6701" w:rsidP="006C6701">
      <w:pPr>
        <w:ind w:left="426"/>
        <w:rPr>
          <w:rFonts w:ascii="Arial" w:hAnsi="Arial" w:cs="Arial"/>
          <w:sz w:val="20"/>
        </w:rPr>
      </w:pPr>
      <w:r w:rsidRPr="006C6701">
        <w:rPr>
          <w:rFonts w:ascii="Arial" w:hAnsi="Arial" w:cs="Arial"/>
          <w:sz w:val="20"/>
        </w:rPr>
        <w:t>IL 2024</w:t>
      </w:r>
    </w:p>
    <w:p w14:paraId="3D8A6F69" w14:textId="3B59C47C" w:rsidR="006C6701" w:rsidRPr="006C6701" w:rsidRDefault="00C47847" w:rsidP="006C6701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Come abbiamo già accennato</w:t>
      </w:r>
      <w:r w:rsidR="00A8795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d</w:t>
      </w:r>
      <w:r w:rsidR="006C6701" w:rsidRPr="006C6701">
        <w:rPr>
          <w:rFonts w:ascii="Arial" w:hAnsi="Arial" w:cs="Arial"/>
          <w:sz w:val="20"/>
        </w:rPr>
        <w:t>a qualche trimestre il settore delle macchine per il legno mostra una tendenza al ritorno verso livelli più “normali”</w:t>
      </w:r>
      <w:r>
        <w:rPr>
          <w:rFonts w:ascii="Arial" w:hAnsi="Arial" w:cs="Arial"/>
          <w:sz w:val="20"/>
        </w:rPr>
        <w:t>,</w:t>
      </w:r>
      <w:r w:rsidR="006C6701" w:rsidRPr="006C6701">
        <w:rPr>
          <w:rFonts w:ascii="Arial" w:hAnsi="Arial" w:cs="Arial"/>
          <w:sz w:val="20"/>
        </w:rPr>
        <w:t xml:space="preserve"> dopo il vero e proprio “boom” degli scorsi anni, un andamento che porta a ipotizzare che anche il </w:t>
      </w:r>
      <w:r w:rsidR="006C6701" w:rsidRPr="006C6701">
        <w:rPr>
          <w:rFonts w:ascii="Arial" w:hAnsi="Arial" w:cs="Arial"/>
          <w:b/>
          <w:bCs/>
          <w:sz w:val="20"/>
        </w:rPr>
        <w:t>2024</w:t>
      </w:r>
      <w:r w:rsidR="006C6701" w:rsidRPr="006C6701">
        <w:rPr>
          <w:rFonts w:ascii="Arial" w:hAnsi="Arial" w:cs="Arial"/>
          <w:sz w:val="20"/>
        </w:rPr>
        <w:t xml:space="preserve"> si collocherà in questa scia. </w:t>
      </w:r>
      <w:r w:rsidR="006C6701" w:rsidRPr="006C6701">
        <w:rPr>
          <w:rFonts w:ascii="Arial" w:hAnsi="Arial" w:cs="Arial"/>
          <w:i/>
          <w:iCs/>
          <w:sz w:val="20"/>
        </w:rPr>
        <w:t>“Valori che è davvero molto difficile stimare oggi, alla luce delle drammatiche vicende internazionali che tutti conosciamo e che potrebbero avere risvolti anche determinanti sull’intera economia mondiale”,</w:t>
      </w:r>
      <w:r w:rsidR="006C6701" w:rsidRPr="006C6701">
        <w:rPr>
          <w:rFonts w:ascii="Arial" w:hAnsi="Arial" w:cs="Arial"/>
          <w:sz w:val="20"/>
        </w:rPr>
        <w:t xml:space="preserve"> ha commentato il direttore di Acimall </w:t>
      </w:r>
      <w:r w:rsidR="006C6701" w:rsidRPr="006C6701">
        <w:rPr>
          <w:rFonts w:ascii="Arial" w:hAnsi="Arial" w:cs="Arial"/>
          <w:b/>
          <w:bCs/>
          <w:sz w:val="20"/>
        </w:rPr>
        <w:t>Dario Corbetta</w:t>
      </w:r>
      <w:r w:rsidR="006C6701" w:rsidRPr="006C6701">
        <w:rPr>
          <w:rFonts w:ascii="Arial" w:hAnsi="Arial" w:cs="Arial"/>
          <w:sz w:val="20"/>
        </w:rPr>
        <w:t xml:space="preserve">. </w:t>
      </w:r>
      <w:r w:rsidR="006C6701" w:rsidRPr="006C6701">
        <w:rPr>
          <w:rFonts w:ascii="Arial" w:hAnsi="Arial" w:cs="Arial"/>
          <w:i/>
          <w:iCs/>
          <w:sz w:val="20"/>
        </w:rPr>
        <w:t>“</w:t>
      </w:r>
      <w:r>
        <w:rPr>
          <w:rFonts w:ascii="Arial" w:hAnsi="Arial" w:cs="Arial"/>
          <w:i/>
          <w:iCs/>
          <w:sz w:val="20"/>
        </w:rPr>
        <w:t>I</w:t>
      </w:r>
      <w:r w:rsidR="006C6701" w:rsidRPr="006C6701">
        <w:rPr>
          <w:rFonts w:ascii="Arial" w:hAnsi="Arial" w:cs="Arial"/>
          <w:i/>
          <w:iCs/>
          <w:sz w:val="20"/>
        </w:rPr>
        <w:t xml:space="preserve">l nostro settore </w:t>
      </w:r>
      <w:r>
        <w:rPr>
          <w:rFonts w:ascii="Arial" w:hAnsi="Arial" w:cs="Arial"/>
          <w:i/>
          <w:iCs/>
          <w:sz w:val="20"/>
        </w:rPr>
        <w:t xml:space="preserve">non è esente dalla classica </w:t>
      </w:r>
      <w:r w:rsidR="006C6701" w:rsidRPr="006C6701">
        <w:rPr>
          <w:rFonts w:ascii="Arial" w:hAnsi="Arial" w:cs="Arial"/>
          <w:i/>
          <w:iCs/>
          <w:sz w:val="20"/>
        </w:rPr>
        <w:t>alterna</w:t>
      </w:r>
      <w:r>
        <w:rPr>
          <w:rFonts w:ascii="Arial" w:hAnsi="Arial" w:cs="Arial"/>
          <w:i/>
          <w:iCs/>
          <w:sz w:val="20"/>
        </w:rPr>
        <w:t>nza</w:t>
      </w:r>
      <w:r w:rsidR="006C6701" w:rsidRPr="006C6701">
        <w:rPr>
          <w:rFonts w:ascii="Arial" w:hAnsi="Arial" w:cs="Arial"/>
          <w:i/>
          <w:iCs/>
          <w:sz w:val="20"/>
        </w:rPr>
        <w:t xml:space="preserve"> di periodi più positivi con altri decisamente meno soddisfacent</w:t>
      </w:r>
      <w:r>
        <w:rPr>
          <w:rFonts w:ascii="Arial" w:hAnsi="Arial" w:cs="Arial"/>
          <w:i/>
          <w:iCs/>
          <w:sz w:val="20"/>
        </w:rPr>
        <w:t>i</w:t>
      </w:r>
      <w:r w:rsidR="006C6701" w:rsidRPr="006C6701">
        <w:rPr>
          <w:rFonts w:ascii="Arial" w:hAnsi="Arial" w:cs="Arial"/>
          <w:i/>
          <w:iCs/>
          <w:sz w:val="20"/>
        </w:rPr>
        <w:t xml:space="preserve">: la novità – se di novità vogliamo parlare </w:t>
      </w:r>
      <w:r w:rsidR="006C6701" w:rsidRPr="006C6701">
        <w:rPr>
          <w:rFonts w:ascii="Arial" w:hAnsi="Arial" w:cs="Arial"/>
          <w:i/>
          <w:iCs/>
          <w:sz w:val="20"/>
        </w:rPr>
        <w:softHyphen/>
        <w:t xml:space="preserve">– è che la crescita degli scorsi anni è stata così forte da generare un vero e proprio picco verso l’alto, una </w:t>
      </w:r>
      <w:r w:rsidR="006C6701" w:rsidRPr="006C6701">
        <w:rPr>
          <w:rFonts w:ascii="Arial" w:hAnsi="Arial" w:cs="Arial"/>
          <w:i/>
          <w:iCs/>
          <w:sz w:val="20"/>
        </w:rPr>
        <w:lastRenderedPageBreak/>
        <w:t>discontinuità molto marcata che imporrà un lento ritorno alla normalità, dunque il permanere di valori negativi, per quanto contenuti in termini percentuali, per un tempo più lungo”.</w:t>
      </w:r>
    </w:p>
    <w:p w14:paraId="02E0EEAF" w14:textId="77777777" w:rsidR="006C6701" w:rsidRPr="006C6701" w:rsidRDefault="006C6701" w:rsidP="006C6701">
      <w:pPr>
        <w:ind w:left="426"/>
        <w:rPr>
          <w:rFonts w:ascii="Arial" w:hAnsi="Arial" w:cs="Arial"/>
          <w:sz w:val="20"/>
        </w:rPr>
      </w:pPr>
    </w:p>
    <w:p w14:paraId="0A315365" w14:textId="0F821703" w:rsidR="006C6701" w:rsidRPr="006C6701" w:rsidRDefault="006C6701" w:rsidP="006C6701">
      <w:pPr>
        <w:ind w:left="426"/>
        <w:rPr>
          <w:rFonts w:ascii="Arial" w:hAnsi="Arial" w:cs="Arial"/>
          <w:i/>
          <w:iCs/>
          <w:sz w:val="20"/>
        </w:rPr>
      </w:pPr>
      <w:r w:rsidRPr="006C6701">
        <w:rPr>
          <w:rFonts w:ascii="Arial" w:hAnsi="Arial" w:cs="Arial"/>
          <w:i/>
          <w:iCs/>
          <w:sz w:val="20"/>
        </w:rPr>
        <w:t xml:space="preserve">“Esiste però la sensazione che il settore si stia preoccupando in modo </w:t>
      </w:r>
      <w:r w:rsidR="00A87956">
        <w:rPr>
          <w:rFonts w:ascii="Arial" w:hAnsi="Arial" w:cs="Arial"/>
          <w:i/>
          <w:iCs/>
          <w:sz w:val="20"/>
        </w:rPr>
        <w:t xml:space="preserve">forse </w:t>
      </w:r>
      <w:r w:rsidRPr="006C6701">
        <w:rPr>
          <w:rFonts w:ascii="Arial" w:hAnsi="Arial" w:cs="Arial"/>
          <w:i/>
          <w:iCs/>
          <w:sz w:val="20"/>
        </w:rPr>
        <w:t>eccessivo per quella che è a tutti gli effetti una contrazione fisiologica”,</w:t>
      </w:r>
      <w:r w:rsidRPr="006C6701">
        <w:rPr>
          <w:rFonts w:ascii="Arial" w:hAnsi="Arial" w:cs="Arial"/>
          <w:sz w:val="20"/>
        </w:rPr>
        <w:t xml:space="preserve"> prosegue Corbetta. </w:t>
      </w:r>
      <w:r w:rsidRPr="006C6701">
        <w:rPr>
          <w:rFonts w:ascii="Arial" w:hAnsi="Arial" w:cs="Arial"/>
          <w:i/>
          <w:iCs/>
          <w:sz w:val="20"/>
        </w:rPr>
        <w:t>“</w:t>
      </w:r>
      <w:r w:rsidR="00A87956">
        <w:rPr>
          <w:rFonts w:ascii="Arial" w:hAnsi="Arial" w:cs="Arial"/>
          <w:i/>
          <w:iCs/>
          <w:sz w:val="20"/>
        </w:rPr>
        <w:t>I darti relativi al 2</w:t>
      </w:r>
      <w:r w:rsidRPr="006C6701">
        <w:rPr>
          <w:rFonts w:ascii="Arial" w:hAnsi="Arial" w:cs="Arial"/>
          <w:i/>
          <w:iCs/>
          <w:sz w:val="20"/>
        </w:rPr>
        <w:t>023</w:t>
      </w:r>
      <w:r w:rsidR="00A87956">
        <w:rPr>
          <w:rFonts w:ascii="Arial" w:hAnsi="Arial" w:cs="Arial"/>
          <w:i/>
          <w:iCs/>
          <w:sz w:val="20"/>
        </w:rPr>
        <w:t xml:space="preserve"> lo dimostrano e oggi</w:t>
      </w:r>
      <w:r w:rsidRPr="006C6701">
        <w:rPr>
          <w:rFonts w:ascii="Arial" w:hAnsi="Arial" w:cs="Arial"/>
          <w:i/>
          <w:iCs/>
          <w:sz w:val="20"/>
        </w:rPr>
        <w:t xml:space="preserve"> </w:t>
      </w:r>
      <w:r w:rsidR="00A87956">
        <w:rPr>
          <w:rFonts w:ascii="Arial" w:hAnsi="Arial" w:cs="Arial"/>
          <w:i/>
          <w:iCs/>
          <w:sz w:val="20"/>
        </w:rPr>
        <w:t>l</w:t>
      </w:r>
      <w:r w:rsidRPr="006C6701">
        <w:rPr>
          <w:rFonts w:ascii="Arial" w:hAnsi="Arial" w:cs="Arial"/>
          <w:i/>
          <w:iCs/>
          <w:sz w:val="20"/>
        </w:rPr>
        <w:t xml:space="preserve">e aziende sono indubbiamente più robuste, sia finanziariamente che dal punto di vista organizzativo, </w:t>
      </w:r>
      <w:r w:rsidR="00C47847">
        <w:rPr>
          <w:rFonts w:ascii="Arial" w:hAnsi="Arial" w:cs="Arial"/>
          <w:i/>
          <w:iCs/>
          <w:sz w:val="20"/>
        </w:rPr>
        <w:t>rispetto ad</w:t>
      </w:r>
      <w:r w:rsidRPr="006C6701">
        <w:rPr>
          <w:rFonts w:ascii="Arial" w:hAnsi="Arial" w:cs="Arial"/>
          <w:i/>
          <w:iCs/>
          <w:sz w:val="20"/>
        </w:rPr>
        <w:t xml:space="preserve"> altre e ben più difficili stagioni del passato: </w:t>
      </w:r>
      <w:r w:rsidR="00C47847">
        <w:rPr>
          <w:rFonts w:ascii="Arial" w:hAnsi="Arial" w:cs="Arial"/>
          <w:i/>
          <w:iCs/>
          <w:sz w:val="20"/>
        </w:rPr>
        <w:t>ciò</w:t>
      </w:r>
      <w:r w:rsidRPr="006C6701">
        <w:rPr>
          <w:rFonts w:ascii="Arial" w:hAnsi="Arial" w:cs="Arial"/>
          <w:i/>
          <w:iCs/>
          <w:sz w:val="20"/>
        </w:rPr>
        <w:t xml:space="preserve"> consentirà loro di gestire </w:t>
      </w:r>
      <w:r w:rsidR="00A87956">
        <w:rPr>
          <w:rFonts w:ascii="Arial" w:hAnsi="Arial" w:cs="Arial"/>
          <w:i/>
          <w:iCs/>
          <w:sz w:val="20"/>
        </w:rPr>
        <w:t>un</w:t>
      </w:r>
      <w:r w:rsidR="00C47847">
        <w:rPr>
          <w:rFonts w:ascii="Arial" w:hAnsi="Arial" w:cs="Arial"/>
          <w:i/>
          <w:iCs/>
          <w:sz w:val="20"/>
        </w:rPr>
        <w:t>a contrazione che possiamo tranquillamente definir</w:t>
      </w:r>
      <w:r w:rsidRPr="006C6701">
        <w:rPr>
          <w:rFonts w:ascii="Arial" w:hAnsi="Arial" w:cs="Arial"/>
          <w:i/>
          <w:iCs/>
          <w:sz w:val="20"/>
        </w:rPr>
        <w:t>e “normale”, per quanto resa più accentuata dai risultati straordinari del triennio precedente</w:t>
      </w:r>
      <w:r w:rsidR="00C47847">
        <w:rPr>
          <w:rFonts w:ascii="Arial" w:hAnsi="Arial" w:cs="Arial"/>
          <w:i/>
          <w:iCs/>
          <w:sz w:val="20"/>
        </w:rPr>
        <w:t>”</w:t>
      </w:r>
      <w:r w:rsidRPr="006C6701">
        <w:rPr>
          <w:rFonts w:ascii="Arial" w:hAnsi="Arial" w:cs="Arial"/>
          <w:i/>
          <w:iCs/>
          <w:sz w:val="20"/>
        </w:rPr>
        <w:t>.</w:t>
      </w:r>
    </w:p>
    <w:p w14:paraId="2158F66E" w14:textId="77777777" w:rsidR="006C6701" w:rsidRPr="006C6701" w:rsidRDefault="006C6701" w:rsidP="006C6701">
      <w:pPr>
        <w:ind w:left="426"/>
        <w:rPr>
          <w:rFonts w:ascii="Arial" w:hAnsi="Arial" w:cs="Arial"/>
          <w:i/>
          <w:iCs/>
          <w:sz w:val="20"/>
        </w:rPr>
      </w:pPr>
    </w:p>
    <w:p w14:paraId="6CF28EEC" w14:textId="77777777" w:rsidR="006C6701" w:rsidRPr="006C6701" w:rsidRDefault="006C6701" w:rsidP="006C6701">
      <w:pPr>
        <w:ind w:left="426"/>
        <w:rPr>
          <w:rFonts w:ascii="Arial" w:hAnsi="Arial" w:cs="Arial"/>
          <w:sz w:val="20"/>
        </w:rPr>
      </w:pPr>
      <w:r w:rsidRPr="006C6701">
        <w:rPr>
          <w:rFonts w:ascii="Arial" w:hAnsi="Arial" w:cs="Arial"/>
          <w:sz w:val="20"/>
        </w:rPr>
        <w:t>INDUSTRIA 5.0</w:t>
      </w:r>
    </w:p>
    <w:p w14:paraId="3061F4CD" w14:textId="42C0B3F4" w:rsidR="006C6701" w:rsidRPr="006C6701" w:rsidRDefault="006C6701" w:rsidP="006C6701">
      <w:pPr>
        <w:ind w:left="426"/>
        <w:rPr>
          <w:rFonts w:ascii="Arial" w:hAnsi="Arial" w:cs="Arial"/>
          <w:sz w:val="20"/>
        </w:rPr>
      </w:pPr>
      <w:r w:rsidRPr="006C6701">
        <w:rPr>
          <w:rFonts w:ascii="Arial" w:hAnsi="Arial" w:cs="Arial"/>
          <w:sz w:val="20"/>
        </w:rPr>
        <w:t xml:space="preserve">È indubbio che negli ultimi anni il mercato italiano sia stato “invogliato” da provvedimenti a sostegno degli investimenti di diversa natura. E anche per la prossima stagione ci sono variabili che potrebbe condizionare in modo significativo i risultati. Ci riferiamo alle misure previste dal piano </w:t>
      </w:r>
      <w:r w:rsidRPr="006C6701">
        <w:rPr>
          <w:rFonts w:ascii="Arial" w:hAnsi="Arial" w:cs="Arial"/>
          <w:b/>
          <w:bCs/>
          <w:sz w:val="20"/>
        </w:rPr>
        <w:t>“Industria 5.0”</w:t>
      </w:r>
      <w:r w:rsidRPr="006C6701">
        <w:rPr>
          <w:rFonts w:ascii="Arial" w:hAnsi="Arial" w:cs="Arial"/>
          <w:sz w:val="20"/>
        </w:rPr>
        <w:t xml:space="preserve">, inserite nell’ambito del </w:t>
      </w:r>
      <w:proofErr w:type="spellStart"/>
      <w:r w:rsidRPr="006C6701">
        <w:rPr>
          <w:rFonts w:ascii="Arial" w:hAnsi="Arial" w:cs="Arial"/>
          <w:sz w:val="20"/>
        </w:rPr>
        <w:t>Pnrr</w:t>
      </w:r>
      <w:proofErr w:type="spellEnd"/>
      <w:r w:rsidRPr="006C6701">
        <w:rPr>
          <w:rFonts w:ascii="Arial" w:hAnsi="Arial" w:cs="Arial"/>
          <w:sz w:val="20"/>
        </w:rPr>
        <w:t xml:space="preserve">-Piano nazionale di ripresa e resilienza che hanno avuto il via libera della Commissione europea in quanto coerenti con il piano </w:t>
      </w:r>
      <w:r w:rsidRPr="006C6701">
        <w:rPr>
          <w:rFonts w:ascii="Arial" w:hAnsi="Arial" w:cs="Arial"/>
          <w:b/>
          <w:bCs/>
          <w:sz w:val="20"/>
        </w:rPr>
        <w:t>“</w:t>
      </w:r>
      <w:proofErr w:type="spellStart"/>
      <w:r w:rsidRPr="006C6701">
        <w:rPr>
          <w:rFonts w:ascii="Arial" w:hAnsi="Arial" w:cs="Arial"/>
          <w:b/>
          <w:bCs/>
          <w:sz w:val="20"/>
        </w:rPr>
        <w:t>REPower</w:t>
      </w:r>
      <w:proofErr w:type="spellEnd"/>
      <w:r w:rsidRPr="006C6701">
        <w:rPr>
          <w:rFonts w:ascii="Arial" w:hAnsi="Arial" w:cs="Arial"/>
          <w:b/>
          <w:bCs/>
          <w:sz w:val="20"/>
        </w:rPr>
        <w:t xml:space="preserve"> EU”</w:t>
      </w:r>
      <w:r w:rsidRPr="006C6701">
        <w:rPr>
          <w:rFonts w:ascii="Arial" w:hAnsi="Arial" w:cs="Arial"/>
          <w:sz w:val="20"/>
        </w:rPr>
        <w:t>, volto ad accelerare la transizione dei Paesi della comunità verso l’utilizzo di energia pulita e, più in generale, alla adozione di tutte quelle misure che consentano una riduzione dei consumi.</w:t>
      </w:r>
    </w:p>
    <w:p w14:paraId="38F91E7C" w14:textId="77777777" w:rsidR="006C6701" w:rsidRPr="006C6701" w:rsidRDefault="006C6701" w:rsidP="006C6701">
      <w:pPr>
        <w:ind w:left="426"/>
        <w:rPr>
          <w:rFonts w:ascii="Arial" w:hAnsi="Arial" w:cs="Arial"/>
          <w:sz w:val="20"/>
        </w:rPr>
      </w:pPr>
      <w:r w:rsidRPr="006C6701">
        <w:rPr>
          <w:rFonts w:ascii="Arial" w:hAnsi="Arial" w:cs="Arial"/>
          <w:sz w:val="20"/>
        </w:rPr>
        <w:t xml:space="preserve">È in questo contesto che si collocano dunque le nuove agevolazioni decise dalle autorità economiche nazionali a sostegno di quegli investimenti che rispettino gli standard di connettività e integrazione nelle reti gestionali delle imprese previste da “Industria 4.0” e possano in più garantire risultati meno energivori. </w:t>
      </w:r>
    </w:p>
    <w:p w14:paraId="481355DC" w14:textId="77777777" w:rsidR="006C6701" w:rsidRPr="006C6701" w:rsidRDefault="006C6701" w:rsidP="006C6701">
      <w:pPr>
        <w:ind w:left="426"/>
        <w:rPr>
          <w:rFonts w:ascii="Arial" w:hAnsi="Arial" w:cs="Arial"/>
          <w:sz w:val="20"/>
        </w:rPr>
      </w:pPr>
    </w:p>
    <w:p w14:paraId="109E2AB0" w14:textId="0BE1AAF8" w:rsidR="006C6701" w:rsidRDefault="006C6701" w:rsidP="00A87956">
      <w:pPr>
        <w:ind w:left="426"/>
        <w:rPr>
          <w:rFonts w:ascii="Arial" w:hAnsi="Arial" w:cs="Arial"/>
          <w:sz w:val="20"/>
        </w:rPr>
      </w:pPr>
      <w:r w:rsidRPr="006C6701">
        <w:rPr>
          <w:rFonts w:ascii="Arial" w:hAnsi="Arial" w:cs="Arial"/>
          <w:i/>
          <w:iCs/>
          <w:sz w:val="20"/>
        </w:rPr>
        <w:t xml:space="preserve">“Per il biennio 2024-2025 le imprese avranno a disposizione, attraverso lo strumento del credito di imposta, fondi per 6,3 miliardi di euro </w:t>
      </w:r>
      <w:r w:rsidR="00A87956">
        <w:rPr>
          <w:rFonts w:ascii="Arial" w:hAnsi="Arial" w:cs="Arial"/>
          <w:i/>
          <w:iCs/>
          <w:sz w:val="20"/>
        </w:rPr>
        <w:t>da sommare</w:t>
      </w:r>
      <w:r w:rsidRPr="006C6701">
        <w:rPr>
          <w:rFonts w:ascii="Arial" w:hAnsi="Arial" w:cs="Arial"/>
          <w:i/>
          <w:iCs/>
          <w:sz w:val="20"/>
        </w:rPr>
        <w:t xml:space="preserve"> alle agevolazioni di “Industria 4.0”</w:t>
      </w:r>
      <w:r w:rsidR="00A87956">
        <w:rPr>
          <w:rFonts w:ascii="Arial" w:hAnsi="Arial" w:cs="Arial"/>
          <w:i/>
          <w:iCs/>
          <w:sz w:val="20"/>
        </w:rPr>
        <w:t>, un piano creato per sostenere tutti</w:t>
      </w:r>
      <w:r w:rsidRPr="006C6701">
        <w:rPr>
          <w:rFonts w:ascii="Arial" w:hAnsi="Arial" w:cs="Arial"/>
          <w:i/>
          <w:iCs/>
          <w:sz w:val="20"/>
        </w:rPr>
        <w:t xml:space="preserve"> quegli interventi </w:t>
      </w:r>
      <w:r w:rsidR="00A87956">
        <w:rPr>
          <w:rFonts w:ascii="Arial" w:hAnsi="Arial" w:cs="Arial"/>
          <w:i/>
          <w:iCs/>
          <w:sz w:val="20"/>
        </w:rPr>
        <w:t>tesi al miglioramento dell</w:t>
      </w:r>
      <w:r w:rsidRPr="006C6701">
        <w:rPr>
          <w:rFonts w:ascii="Arial" w:hAnsi="Arial" w:cs="Arial"/>
          <w:i/>
          <w:iCs/>
          <w:sz w:val="20"/>
        </w:rPr>
        <w:t>’efficienza energetica</w:t>
      </w:r>
      <w:r w:rsidR="00A87956">
        <w:rPr>
          <w:rFonts w:ascii="Arial" w:hAnsi="Arial" w:cs="Arial"/>
          <w:i/>
          <w:iCs/>
          <w:sz w:val="20"/>
        </w:rPr>
        <w:t xml:space="preserve"> di macchine e impianti</w:t>
      </w:r>
      <w:r w:rsidRPr="006C6701">
        <w:rPr>
          <w:rFonts w:ascii="Arial" w:hAnsi="Arial" w:cs="Arial"/>
          <w:i/>
          <w:iCs/>
          <w:sz w:val="20"/>
        </w:rPr>
        <w:t>”,</w:t>
      </w:r>
      <w:r w:rsidRPr="006C6701">
        <w:rPr>
          <w:rFonts w:ascii="Arial" w:hAnsi="Arial" w:cs="Arial"/>
          <w:sz w:val="20"/>
        </w:rPr>
        <w:t xml:space="preserve"> racconta </w:t>
      </w:r>
      <w:r w:rsidRPr="006C6701">
        <w:rPr>
          <w:rFonts w:ascii="Arial" w:hAnsi="Arial" w:cs="Arial"/>
          <w:b/>
          <w:bCs/>
          <w:sz w:val="20"/>
        </w:rPr>
        <w:t>Dario Corbetta</w:t>
      </w:r>
      <w:r w:rsidRPr="006C6701">
        <w:rPr>
          <w:rFonts w:ascii="Arial" w:hAnsi="Arial" w:cs="Arial"/>
          <w:sz w:val="20"/>
        </w:rPr>
        <w:t xml:space="preserve">. “La contrazione di questi ultimi mesi potrebbe dunque aver risentito della decisione di molte aziende di attendere la piena operatività della nuova misura prima di decidere nuovi investimenti. È indubbio che si tratti di misure che definire “gradite” è poco, per quanto siano evidenti gli effetti “elastico” che </w:t>
      </w:r>
      <w:r w:rsidR="00A87956">
        <w:rPr>
          <w:rFonts w:ascii="Arial" w:hAnsi="Arial" w:cs="Arial"/>
          <w:sz w:val="20"/>
        </w:rPr>
        <w:t xml:space="preserve">inevitabilmente </w:t>
      </w:r>
      <w:r w:rsidRPr="006C6701">
        <w:rPr>
          <w:rFonts w:ascii="Arial" w:hAnsi="Arial" w:cs="Arial"/>
          <w:sz w:val="20"/>
        </w:rPr>
        <w:t>hanno sulla domanda</w:t>
      </w:r>
      <w:r w:rsidR="00A87956">
        <w:rPr>
          <w:rFonts w:ascii="Arial" w:hAnsi="Arial" w:cs="Arial"/>
          <w:sz w:val="20"/>
        </w:rPr>
        <w:t>. Politiche di più ampio respiro, che non si succedano di anno in anno, avrebbero certamente effetti più duraturi e strutturali sull’andamento della domanda”.</w:t>
      </w:r>
    </w:p>
    <w:p w14:paraId="28D8290A" w14:textId="77777777" w:rsidR="00A87956" w:rsidRDefault="00A87956" w:rsidP="00A87956">
      <w:pPr>
        <w:ind w:left="426"/>
        <w:rPr>
          <w:rFonts w:ascii="Arial" w:hAnsi="Arial" w:cs="Arial"/>
          <w:sz w:val="20"/>
        </w:rPr>
      </w:pPr>
    </w:p>
    <w:p w14:paraId="4C6F1D53" w14:textId="505044AA" w:rsidR="00A87956" w:rsidRPr="006C6701" w:rsidRDefault="00A87956" w:rsidP="00A87956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Ci sono gli elementi per un </w:t>
      </w:r>
      <w:r w:rsidR="005A0498">
        <w:rPr>
          <w:rFonts w:ascii="Arial" w:hAnsi="Arial" w:cs="Arial"/>
          <w:sz w:val="20"/>
        </w:rPr>
        <w:t>ca</w:t>
      </w:r>
      <w:r>
        <w:rPr>
          <w:rFonts w:ascii="Arial" w:hAnsi="Arial" w:cs="Arial"/>
          <w:sz w:val="20"/>
        </w:rPr>
        <w:t xml:space="preserve">uto ottimismo, dunque, con la certezza che </w:t>
      </w:r>
      <w:proofErr w:type="spellStart"/>
      <w:r w:rsidRPr="00A87956">
        <w:rPr>
          <w:rFonts w:ascii="Arial" w:hAnsi="Arial" w:cs="Arial"/>
          <w:b/>
          <w:bCs/>
          <w:sz w:val="20"/>
        </w:rPr>
        <w:t>Xylexpo</w:t>
      </w:r>
      <w:proofErr w:type="spellEnd"/>
      <w:r w:rsidRPr="00A87956">
        <w:rPr>
          <w:rFonts w:ascii="Arial" w:hAnsi="Arial" w:cs="Arial"/>
          <w:b/>
          <w:bCs/>
          <w:sz w:val="20"/>
        </w:rPr>
        <w:t xml:space="preserve"> 2024</w:t>
      </w:r>
      <w:r>
        <w:rPr>
          <w:rFonts w:ascii="Arial" w:hAnsi="Arial" w:cs="Arial"/>
          <w:sz w:val="20"/>
        </w:rPr>
        <w:t xml:space="preserve"> – la biennale internazionale delle tecnologie per la filiera legno organizzata da Acimall</w:t>
      </w:r>
      <w:r w:rsidR="00612996">
        <w:rPr>
          <w:rFonts w:ascii="Arial" w:hAnsi="Arial" w:cs="Arial"/>
          <w:sz w:val="20"/>
        </w:rPr>
        <w:t xml:space="preserve"> che si terrà a </w:t>
      </w:r>
      <w:proofErr w:type="spellStart"/>
      <w:r w:rsidR="00612996">
        <w:rPr>
          <w:rFonts w:ascii="Arial" w:hAnsi="Arial" w:cs="Arial"/>
          <w:sz w:val="20"/>
        </w:rPr>
        <w:t>FieraMilano</w:t>
      </w:r>
      <w:proofErr w:type="spellEnd"/>
      <w:r w:rsidR="00612996">
        <w:rPr>
          <w:rFonts w:ascii="Arial" w:hAnsi="Arial" w:cs="Arial"/>
          <w:sz w:val="20"/>
        </w:rPr>
        <w:t>-Rho dal 21 al 24 maggio prossimo</w:t>
      </w:r>
      <w:r>
        <w:rPr>
          <w:rFonts w:ascii="Arial" w:hAnsi="Arial" w:cs="Arial"/>
          <w:sz w:val="20"/>
        </w:rPr>
        <w:t xml:space="preserve"> – </w:t>
      </w:r>
      <w:r w:rsidR="005A0498">
        <w:rPr>
          <w:rFonts w:ascii="Arial" w:hAnsi="Arial" w:cs="Arial"/>
          <w:sz w:val="20"/>
        </w:rPr>
        <w:t>si collochi nel momento più indicato per permettere ai potenziali clienti e utilizzatori di cogliere l’innovazione in termini di gestione dei consumi che non mancherà di interessare</w:t>
      </w:r>
      <w:r w:rsidR="00612996">
        <w:rPr>
          <w:rFonts w:ascii="Arial" w:hAnsi="Arial" w:cs="Arial"/>
          <w:sz w:val="20"/>
        </w:rPr>
        <w:t xml:space="preserve"> l’intera offerta.</w:t>
      </w:r>
    </w:p>
    <w:p w14:paraId="1ED84EAC" w14:textId="77777777" w:rsidR="006C6701" w:rsidRPr="006C6701" w:rsidRDefault="006C6701" w:rsidP="006C6701">
      <w:pPr>
        <w:ind w:left="426"/>
        <w:rPr>
          <w:rFonts w:ascii="Arial" w:hAnsi="Arial" w:cs="Arial"/>
          <w:sz w:val="20"/>
        </w:rPr>
      </w:pPr>
    </w:p>
    <w:p w14:paraId="3CBBC473" w14:textId="77777777" w:rsidR="006C6701" w:rsidRPr="006C6701" w:rsidRDefault="006C6701" w:rsidP="006C6701">
      <w:pPr>
        <w:ind w:left="426"/>
        <w:rPr>
          <w:rFonts w:ascii="Arial" w:hAnsi="Arial" w:cs="Arial"/>
          <w:sz w:val="20"/>
        </w:rPr>
      </w:pPr>
    </w:p>
    <w:p w14:paraId="0A6C41E7" w14:textId="77777777" w:rsidR="006C6701" w:rsidRPr="006C6701" w:rsidRDefault="006C6701" w:rsidP="006C6701">
      <w:pPr>
        <w:ind w:left="426"/>
        <w:rPr>
          <w:rFonts w:ascii="Arial" w:hAnsi="Arial" w:cs="Arial"/>
          <w:sz w:val="20"/>
        </w:rPr>
      </w:pPr>
    </w:p>
    <w:p w14:paraId="54F67F2C" w14:textId="77777777" w:rsidR="00FE501D" w:rsidRPr="006C6701" w:rsidRDefault="00FE501D" w:rsidP="006C6701">
      <w:pPr>
        <w:tabs>
          <w:tab w:val="left" w:pos="426"/>
        </w:tabs>
        <w:ind w:left="426"/>
        <w:rPr>
          <w:rFonts w:ascii="Arial" w:hAnsi="Arial" w:cs="Arial"/>
          <w:color w:val="FF0000"/>
          <w:sz w:val="20"/>
        </w:rPr>
      </w:pPr>
    </w:p>
    <w:p w14:paraId="0BDFEB82" w14:textId="77777777" w:rsidR="00663C99" w:rsidRPr="006C6701" w:rsidRDefault="00663C99" w:rsidP="00612996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</w:rPr>
      </w:pPr>
    </w:p>
    <w:p w14:paraId="7890008D" w14:textId="77777777" w:rsidR="005A336D" w:rsidRPr="006C6701" w:rsidRDefault="005A336D" w:rsidP="006C6701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b/>
          <w:sz w:val="20"/>
        </w:rPr>
      </w:pPr>
    </w:p>
    <w:p w14:paraId="106E4F0F" w14:textId="77777777" w:rsidR="00AF183E" w:rsidRPr="006C6701" w:rsidRDefault="00AF183E" w:rsidP="006C6701">
      <w:pPr>
        <w:ind w:left="426"/>
        <w:rPr>
          <w:rFonts w:ascii="Arial" w:hAnsi="Arial" w:cs="Arial"/>
          <w:sz w:val="20"/>
        </w:rPr>
      </w:pPr>
    </w:p>
    <w:p w14:paraId="72DB9CEE" w14:textId="77777777" w:rsidR="00AF183E" w:rsidRPr="006C6701" w:rsidRDefault="00AF183E" w:rsidP="006C6701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 w:cs="Arial"/>
          <w:i/>
          <w:sz w:val="20"/>
        </w:rPr>
      </w:pPr>
      <w:r w:rsidRPr="006C6701">
        <w:rPr>
          <w:rFonts w:ascii="Arial" w:hAnsi="Arial" w:cs="Arial"/>
          <w:i/>
          <w:sz w:val="20"/>
        </w:rPr>
        <w:t>Per ulteriori informazioni:</w:t>
      </w:r>
    </w:p>
    <w:p w14:paraId="6E205649" w14:textId="77777777" w:rsidR="00AF183E" w:rsidRPr="006C6701" w:rsidRDefault="00AF183E" w:rsidP="006C6701">
      <w:pPr>
        <w:tabs>
          <w:tab w:val="left" w:pos="567"/>
        </w:tabs>
        <w:ind w:left="426"/>
        <w:jc w:val="both"/>
        <w:outlineLvl w:val="0"/>
        <w:rPr>
          <w:rFonts w:ascii="Arial" w:hAnsi="Arial" w:cs="Arial"/>
          <w:b/>
          <w:sz w:val="20"/>
        </w:rPr>
      </w:pPr>
      <w:r w:rsidRPr="006C6701">
        <w:rPr>
          <w:rFonts w:ascii="Arial" w:hAnsi="Arial" w:cs="Arial"/>
          <w:b/>
          <w:sz w:val="20"/>
        </w:rPr>
        <w:t>Luca Rossetti</w:t>
      </w:r>
    </w:p>
    <w:p w14:paraId="1E22B546" w14:textId="2DBC3005" w:rsidR="00FD434E" w:rsidRPr="006C6701" w:rsidRDefault="00AF183E" w:rsidP="006C6701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sz w:val="20"/>
        </w:rPr>
      </w:pPr>
      <w:r w:rsidRPr="006C6701">
        <w:rPr>
          <w:rFonts w:ascii="Arial" w:hAnsi="Arial" w:cs="Arial"/>
          <w:sz w:val="20"/>
        </w:rPr>
        <w:t xml:space="preserve">+39 351 9098189 - </w:t>
      </w:r>
      <w:hyperlink r:id="rId8" w:history="1">
        <w:r w:rsidRPr="006C6701">
          <w:rPr>
            <w:rStyle w:val="Collegamentoipertestuale"/>
            <w:rFonts w:ascii="Arial" w:hAnsi="Arial" w:cs="Arial"/>
            <w:color w:val="auto"/>
            <w:sz w:val="20"/>
            <w:u w:val="none"/>
          </w:rPr>
          <w:t>press@acimall.com</w:t>
        </w:r>
      </w:hyperlink>
    </w:p>
    <w:sectPr w:rsidR="00FD434E" w:rsidRPr="006C6701" w:rsidSect="00AF183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113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0CBB" w14:textId="77777777" w:rsidR="00FB1E53" w:rsidRDefault="00FB1E53">
      <w:r>
        <w:separator/>
      </w:r>
    </w:p>
  </w:endnote>
  <w:endnote w:type="continuationSeparator" w:id="0">
    <w:p w14:paraId="1698F5EA" w14:textId="77777777" w:rsidR="00FB1E53" w:rsidRDefault="00FB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5BF6" w14:textId="77777777" w:rsidR="00220A02" w:rsidRDefault="00220A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220A02" w:rsidRDefault="00220A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5DE1" w14:textId="77777777" w:rsidR="00220A02" w:rsidRDefault="00220A02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220A02" w:rsidRDefault="00220A02">
    <w:pPr>
      <w:pStyle w:val="Pidipagina"/>
      <w:ind w:right="360"/>
    </w:pPr>
    <w:r>
      <w:t xml:space="preserve">   </w:t>
    </w:r>
  </w:p>
  <w:p w14:paraId="676EE327" w14:textId="196C1161" w:rsidR="00220A02" w:rsidRDefault="00220A02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B1D6" w14:textId="77777777" w:rsidR="00220A02" w:rsidRDefault="00220A02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A5C5" w14:textId="77777777" w:rsidR="00FB1E53" w:rsidRDefault="00FB1E53">
      <w:r>
        <w:separator/>
      </w:r>
    </w:p>
  </w:footnote>
  <w:footnote w:type="continuationSeparator" w:id="0">
    <w:p w14:paraId="02E48B0F" w14:textId="77777777" w:rsidR="00FB1E53" w:rsidRDefault="00FB1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CE48" w14:textId="6DC56FCB" w:rsidR="00220A02" w:rsidRDefault="00220A02">
    <w:pPr>
      <w:pStyle w:val="Intestazione"/>
      <w:ind w:left="360"/>
    </w:pPr>
  </w:p>
  <w:p w14:paraId="302658E1" w14:textId="77777777" w:rsidR="00220A02" w:rsidRDefault="00220A02">
    <w:pPr>
      <w:pStyle w:val="Intestazione"/>
      <w:ind w:left="360"/>
    </w:pPr>
  </w:p>
  <w:p w14:paraId="4A2C7678" w14:textId="77777777" w:rsidR="00220A02" w:rsidRDefault="00220A02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B4B7" w14:textId="39D9834C" w:rsidR="00220A02" w:rsidRDefault="00220A02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50590247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1785227866">
    <w:abstractNumId w:val="2"/>
  </w:num>
  <w:num w:numId="3" w16cid:durableId="1346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721B"/>
    <w:rsid w:val="0003297A"/>
    <w:rsid w:val="00087FD9"/>
    <w:rsid w:val="00095C56"/>
    <w:rsid w:val="000A33AA"/>
    <w:rsid w:val="000B731F"/>
    <w:rsid w:val="000C05B7"/>
    <w:rsid w:val="000C2E18"/>
    <w:rsid w:val="000C2F82"/>
    <w:rsid w:val="000C4AD3"/>
    <w:rsid w:val="000C5C5F"/>
    <w:rsid w:val="000D6860"/>
    <w:rsid w:val="000E417A"/>
    <w:rsid w:val="000E4BEE"/>
    <w:rsid w:val="000E661F"/>
    <w:rsid w:val="000E7459"/>
    <w:rsid w:val="000F4C0F"/>
    <w:rsid w:val="00104F31"/>
    <w:rsid w:val="001258BE"/>
    <w:rsid w:val="00130D7E"/>
    <w:rsid w:val="00140D22"/>
    <w:rsid w:val="00142024"/>
    <w:rsid w:val="001670C8"/>
    <w:rsid w:val="001702AD"/>
    <w:rsid w:val="0017075B"/>
    <w:rsid w:val="00174464"/>
    <w:rsid w:val="0018053C"/>
    <w:rsid w:val="001812CA"/>
    <w:rsid w:val="00181DE3"/>
    <w:rsid w:val="001956B8"/>
    <w:rsid w:val="001A615F"/>
    <w:rsid w:val="001B28A8"/>
    <w:rsid w:val="001B415A"/>
    <w:rsid w:val="001B424B"/>
    <w:rsid w:val="001B57D7"/>
    <w:rsid w:val="001C40F9"/>
    <w:rsid w:val="001C421C"/>
    <w:rsid w:val="001D79A8"/>
    <w:rsid w:val="001E067F"/>
    <w:rsid w:val="001E6154"/>
    <w:rsid w:val="001E72A3"/>
    <w:rsid w:val="001F0D52"/>
    <w:rsid w:val="001F51B2"/>
    <w:rsid w:val="002042B0"/>
    <w:rsid w:val="00207FBA"/>
    <w:rsid w:val="00210CF8"/>
    <w:rsid w:val="002178A4"/>
    <w:rsid w:val="00220A02"/>
    <w:rsid w:val="00224AB3"/>
    <w:rsid w:val="00224F54"/>
    <w:rsid w:val="00232B02"/>
    <w:rsid w:val="00243255"/>
    <w:rsid w:val="002545BF"/>
    <w:rsid w:val="002632E5"/>
    <w:rsid w:val="002650C8"/>
    <w:rsid w:val="00272082"/>
    <w:rsid w:val="00277B4A"/>
    <w:rsid w:val="00286B70"/>
    <w:rsid w:val="00291DE3"/>
    <w:rsid w:val="00294EDD"/>
    <w:rsid w:val="002A632E"/>
    <w:rsid w:val="002A753A"/>
    <w:rsid w:val="002E14A5"/>
    <w:rsid w:val="002F11D9"/>
    <w:rsid w:val="002F5769"/>
    <w:rsid w:val="00304533"/>
    <w:rsid w:val="003056E4"/>
    <w:rsid w:val="00305B4C"/>
    <w:rsid w:val="00307139"/>
    <w:rsid w:val="00313979"/>
    <w:rsid w:val="00326C06"/>
    <w:rsid w:val="0034316E"/>
    <w:rsid w:val="00345C06"/>
    <w:rsid w:val="00345D05"/>
    <w:rsid w:val="00347155"/>
    <w:rsid w:val="00365C65"/>
    <w:rsid w:val="00366693"/>
    <w:rsid w:val="00366E20"/>
    <w:rsid w:val="00381921"/>
    <w:rsid w:val="003838AD"/>
    <w:rsid w:val="003A73F0"/>
    <w:rsid w:val="003B059D"/>
    <w:rsid w:val="003B109F"/>
    <w:rsid w:val="003C34B2"/>
    <w:rsid w:val="003D3CCC"/>
    <w:rsid w:val="003F1E14"/>
    <w:rsid w:val="003F371B"/>
    <w:rsid w:val="0040219C"/>
    <w:rsid w:val="0040679A"/>
    <w:rsid w:val="00406AB7"/>
    <w:rsid w:val="00416C21"/>
    <w:rsid w:val="00434C7E"/>
    <w:rsid w:val="00440FDD"/>
    <w:rsid w:val="004525E1"/>
    <w:rsid w:val="004559D3"/>
    <w:rsid w:val="00463561"/>
    <w:rsid w:val="00471328"/>
    <w:rsid w:val="004720FA"/>
    <w:rsid w:val="00496CD7"/>
    <w:rsid w:val="004B203B"/>
    <w:rsid w:val="004B3B06"/>
    <w:rsid w:val="004D1EEA"/>
    <w:rsid w:val="004E3E0D"/>
    <w:rsid w:val="004E3F45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97E03"/>
    <w:rsid w:val="005A0498"/>
    <w:rsid w:val="005A2C26"/>
    <w:rsid w:val="005A336D"/>
    <w:rsid w:val="005B514B"/>
    <w:rsid w:val="005C3375"/>
    <w:rsid w:val="005C788E"/>
    <w:rsid w:val="005D4C94"/>
    <w:rsid w:val="005D6503"/>
    <w:rsid w:val="005D6F46"/>
    <w:rsid w:val="005D7B5B"/>
    <w:rsid w:val="005E5302"/>
    <w:rsid w:val="005E61EF"/>
    <w:rsid w:val="005F3EEA"/>
    <w:rsid w:val="005F4DBC"/>
    <w:rsid w:val="005F5DB2"/>
    <w:rsid w:val="00612996"/>
    <w:rsid w:val="006351F3"/>
    <w:rsid w:val="0063567C"/>
    <w:rsid w:val="00635F6C"/>
    <w:rsid w:val="006377E8"/>
    <w:rsid w:val="0064368F"/>
    <w:rsid w:val="00663C99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6C6701"/>
    <w:rsid w:val="00705D68"/>
    <w:rsid w:val="007122E6"/>
    <w:rsid w:val="007125B4"/>
    <w:rsid w:val="00720B7D"/>
    <w:rsid w:val="00724BEA"/>
    <w:rsid w:val="00736007"/>
    <w:rsid w:val="007443A2"/>
    <w:rsid w:val="00756F57"/>
    <w:rsid w:val="00760EDC"/>
    <w:rsid w:val="007611D0"/>
    <w:rsid w:val="00773075"/>
    <w:rsid w:val="00782761"/>
    <w:rsid w:val="00786BB1"/>
    <w:rsid w:val="007A6D51"/>
    <w:rsid w:val="007B2DBD"/>
    <w:rsid w:val="007B3109"/>
    <w:rsid w:val="007B4E57"/>
    <w:rsid w:val="007B72D5"/>
    <w:rsid w:val="007D28CA"/>
    <w:rsid w:val="007D3E3A"/>
    <w:rsid w:val="007D429A"/>
    <w:rsid w:val="007E06BB"/>
    <w:rsid w:val="007E5480"/>
    <w:rsid w:val="00800F6A"/>
    <w:rsid w:val="0080513A"/>
    <w:rsid w:val="00807D67"/>
    <w:rsid w:val="00840088"/>
    <w:rsid w:val="008408C9"/>
    <w:rsid w:val="00840B4A"/>
    <w:rsid w:val="00865C7A"/>
    <w:rsid w:val="0087060B"/>
    <w:rsid w:val="0088052D"/>
    <w:rsid w:val="008850FB"/>
    <w:rsid w:val="00891675"/>
    <w:rsid w:val="008A336A"/>
    <w:rsid w:val="008A5509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0D67"/>
    <w:rsid w:val="00917407"/>
    <w:rsid w:val="009201D1"/>
    <w:rsid w:val="00927BEF"/>
    <w:rsid w:val="00932B59"/>
    <w:rsid w:val="00932BC6"/>
    <w:rsid w:val="00941E08"/>
    <w:rsid w:val="00946C6A"/>
    <w:rsid w:val="00947D81"/>
    <w:rsid w:val="00960785"/>
    <w:rsid w:val="009703DB"/>
    <w:rsid w:val="00972D3C"/>
    <w:rsid w:val="00975B1A"/>
    <w:rsid w:val="0097719C"/>
    <w:rsid w:val="00985C7E"/>
    <w:rsid w:val="00990459"/>
    <w:rsid w:val="00991CBC"/>
    <w:rsid w:val="00992E35"/>
    <w:rsid w:val="00993D0D"/>
    <w:rsid w:val="009C5B81"/>
    <w:rsid w:val="009C6F87"/>
    <w:rsid w:val="009D300B"/>
    <w:rsid w:val="009E5E5C"/>
    <w:rsid w:val="00A018A0"/>
    <w:rsid w:val="00A029E7"/>
    <w:rsid w:val="00A108DB"/>
    <w:rsid w:val="00A24050"/>
    <w:rsid w:val="00A24489"/>
    <w:rsid w:val="00A2581D"/>
    <w:rsid w:val="00A31A41"/>
    <w:rsid w:val="00A60694"/>
    <w:rsid w:val="00A6631D"/>
    <w:rsid w:val="00A76779"/>
    <w:rsid w:val="00A86E2C"/>
    <w:rsid w:val="00A87956"/>
    <w:rsid w:val="00A92CC1"/>
    <w:rsid w:val="00AB77FB"/>
    <w:rsid w:val="00AE006E"/>
    <w:rsid w:val="00AE1B9E"/>
    <w:rsid w:val="00AE51EF"/>
    <w:rsid w:val="00AF183E"/>
    <w:rsid w:val="00AF50EF"/>
    <w:rsid w:val="00B024BA"/>
    <w:rsid w:val="00B0713B"/>
    <w:rsid w:val="00B07D0B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F2118"/>
    <w:rsid w:val="00BF35BC"/>
    <w:rsid w:val="00C04852"/>
    <w:rsid w:val="00C07008"/>
    <w:rsid w:val="00C10DE6"/>
    <w:rsid w:val="00C12950"/>
    <w:rsid w:val="00C313EC"/>
    <w:rsid w:val="00C3679E"/>
    <w:rsid w:val="00C41993"/>
    <w:rsid w:val="00C42262"/>
    <w:rsid w:val="00C435AF"/>
    <w:rsid w:val="00C441DA"/>
    <w:rsid w:val="00C47847"/>
    <w:rsid w:val="00C54EF3"/>
    <w:rsid w:val="00C55169"/>
    <w:rsid w:val="00C60722"/>
    <w:rsid w:val="00C639FC"/>
    <w:rsid w:val="00C91D54"/>
    <w:rsid w:val="00C96A6C"/>
    <w:rsid w:val="00CB70B1"/>
    <w:rsid w:val="00CD4C1D"/>
    <w:rsid w:val="00CE45E5"/>
    <w:rsid w:val="00CE4D8E"/>
    <w:rsid w:val="00CE6324"/>
    <w:rsid w:val="00CE7C6D"/>
    <w:rsid w:val="00CF0739"/>
    <w:rsid w:val="00D0397B"/>
    <w:rsid w:val="00D04850"/>
    <w:rsid w:val="00D0677A"/>
    <w:rsid w:val="00D10A5D"/>
    <w:rsid w:val="00D16C13"/>
    <w:rsid w:val="00D21030"/>
    <w:rsid w:val="00D32BC8"/>
    <w:rsid w:val="00D42442"/>
    <w:rsid w:val="00D47E18"/>
    <w:rsid w:val="00D54D20"/>
    <w:rsid w:val="00D57985"/>
    <w:rsid w:val="00D7134F"/>
    <w:rsid w:val="00D91B3F"/>
    <w:rsid w:val="00DB7438"/>
    <w:rsid w:val="00DC53CF"/>
    <w:rsid w:val="00DD038E"/>
    <w:rsid w:val="00DD2A47"/>
    <w:rsid w:val="00DE3BC7"/>
    <w:rsid w:val="00DE3DFA"/>
    <w:rsid w:val="00DF2A1E"/>
    <w:rsid w:val="00E04E31"/>
    <w:rsid w:val="00E07556"/>
    <w:rsid w:val="00E12D44"/>
    <w:rsid w:val="00E2671D"/>
    <w:rsid w:val="00E26F68"/>
    <w:rsid w:val="00E452B2"/>
    <w:rsid w:val="00E454F5"/>
    <w:rsid w:val="00E6024D"/>
    <w:rsid w:val="00E60591"/>
    <w:rsid w:val="00E65415"/>
    <w:rsid w:val="00E655B9"/>
    <w:rsid w:val="00E66C6E"/>
    <w:rsid w:val="00E731E4"/>
    <w:rsid w:val="00EA05AD"/>
    <w:rsid w:val="00EC6834"/>
    <w:rsid w:val="00ED118D"/>
    <w:rsid w:val="00EF3187"/>
    <w:rsid w:val="00F00863"/>
    <w:rsid w:val="00F01932"/>
    <w:rsid w:val="00F15D95"/>
    <w:rsid w:val="00F259BE"/>
    <w:rsid w:val="00F30178"/>
    <w:rsid w:val="00F3539D"/>
    <w:rsid w:val="00F379D8"/>
    <w:rsid w:val="00F42561"/>
    <w:rsid w:val="00F50033"/>
    <w:rsid w:val="00F51E5D"/>
    <w:rsid w:val="00F64584"/>
    <w:rsid w:val="00F76DF4"/>
    <w:rsid w:val="00F92442"/>
    <w:rsid w:val="00FA3FD5"/>
    <w:rsid w:val="00FB1E53"/>
    <w:rsid w:val="00FB5D0B"/>
    <w:rsid w:val="00FB6B5A"/>
    <w:rsid w:val="00FC53D2"/>
    <w:rsid w:val="00FD02C0"/>
    <w:rsid w:val="00FD043C"/>
    <w:rsid w:val="00FD434E"/>
    <w:rsid w:val="00FE501D"/>
    <w:rsid w:val="00FE5091"/>
    <w:rsid w:val="00FF2E86"/>
    <w:rsid w:val="00FF3313"/>
    <w:rsid w:val="00FF7E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62284E42"/>
  <w15:docId w15:val="{B3149ABB-354A-6B44-A940-C359F4BE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1</TotalTime>
  <Pages>2</Pages>
  <Words>1037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6940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2022-12-14T10:43:00Z</cp:lastPrinted>
  <dcterms:created xsi:type="dcterms:W3CDTF">2023-12-12T09:30:00Z</dcterms:created>
  <dcterms:modified xsi:type="dcterms:W3CDTF">2023-12-12T09:30:00Z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