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2F321C57" w14:textId="77777777" w:rsidTr="00A029E7">
        <w:trPr>
          <w:trHeight w:val="540"/>
        </w:trPr>
        <w:tc>
          <w:tcPr>
            <w:tcW w:w="3184" w:type="dxa"/>
          </w:tcPr>
          <w:p w14:paraId="5EA9B0A5" w14:textId="77777777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2EEA94C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785AE3F8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Centro Direzionale </w:t>
            </w:r>
            <w:proofErr w:type="spellStart"/>
            <w:r>
              <w:rPr>
                <w:rFonts w:ascii="Helvetica" w:hAnsi="Helvetica"/>
                <w:sz w:val="16"/>
              </w:rPr>
              <w:t>Milanofiori</w:t>
            </w:r>
            <w:proofErr w:type="spellEnd"/>
          </w:p>
          <w:p w14:paraId="51E89216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62392C88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466E55B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11DC28E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461AC9D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0CBE0A5C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1A0294F" w14:textId="449E6CC0" w:rsidR="00C12950" w:rsidRPr="00376C83" w:rsidRDefault="00222FBA" w:rsidP="008E444A">
            <w:pPr>
              <w:ind w:left="-142" w:right="212"/>
              <w:jc w:val="right"/>
              <w:rPr>
                <w:rFonts w:ascii="Helvetica" w:hAnsi="Helvetica"/>
                <w:b/>
                <w:color w:val="000000" w:themeColor="text1"/>
                <w:sz w:val="28"/>
              </w:rPr>
            </w:pPr>
            <w:r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>press office</w:t>
            </w:r>
          </w:p>
          <w:p w14:paraId="285DBD41" w14:textId="13372041" w:rsidR="00C12950" w:rsidRPr="004C4277" w:rsidRDefault="00376C83" w:rsidP="009B47DD">
            <w:pPr>
              <w:ind w:left="-142" w:right="212"/>
              <w:jc w:val="right"/>
              <w:rPr>
                <w:rFonts w:ascii="Gill Sans MT" w:hAnsi="Gill Sans MT"/>
                <w:b/>
                <w:color w:val="FF0000"/>
                <w:sz w:val="14"/>
              </w:rPr>
            </w:pPr>
            <w:r w:rsidRPr="00376C83">
              <w:rPr>
                <w:rFonts w:ascii="Helvetica" w:hAnsi="Helvetica"/>
                <w:color w:val="000000" w:themeColor="text1"/>
                <w:sz w:val="14"/>
              </w:rPr>
              <w:t>1</w:t>
            </w:r>
            <w:r w:rsidR="009B47DD">
              <w:rPr>
                <w:rFonts w:ascii="Helvetica" w:hAnsi="Helvetica"/>
                <w:color w:val="000000" w:themeColor="text1"/>
                <w:sz w:val="14"/>
              </w:rPr>
              <w:t>1</w:t>
            </w:r>
            <w:r w:rsidR="00F7011C" w:rsidRPr="00376C83">
              <w:rPr>
                <w:rFonts w:ascii="Helvetica" w:hAnsi="Helvetica"/>
                <w:color w:val="000000" w:themeColor="text1"/>
                <w:sz w:val="14"/>
              </w:rPr>
              <w:t xml:space="preserve"> </w:t>
            </w:r>
            <w:proofErr w:type="spellStart"/>
            <w:r w:rsidR="00222FBA">
              <w:rPr>
                <w:rFonts w:ascii="Helvetica" w:hAnsi="Helvetica"/>
                <w:color w:val="000000" w:themeColor="text1"/>
                <w:sz w:val="14"/>
              </w:rPr>
              <w:t>May</w:t>
            </w:r>
            <w:proofErr w:type="spellEnd"/>
            <w:r w:rsidR="00F7011C" w:rsidRPr="00376C83">
              <w:rPr>
                <w:rFonts w:ascii="Helvetica" w:hAnsi="Helvetica"/>
                <w:color w:val="000000" w:themeColor="text1"/>
                <w:sz w:val="14"/>
              </w:rPr>
              <w:t xml:space="preserve"> 2023</w:t>
            </w:r>
          </w:p>
        </w:tc>
      </w:tr>
    </w:tbl>
    <w:p w14:paraId="3075F226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37D76CA7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5E701C21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0DF4198C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6884D77D" w14:textId="77777777" w:rsidR="009D300B" w:rsidRDefault="009D300B" w:rsidP="008570D7">
      <w:pPr>
        <w:jc w:val="both"/>
        <w:rPr>
          <w:rFonts w:ascii="Arial" w:hAnsi="Arial" w:cs="Arial"/>
          <w:b/>
          <w:sz w:val="20"/>
        </w:rPr>
      </w:pPr>
    </w:p>
    <w:p w14:paraId="4B4BC920" w14:textId="77777777" w:rsidR="001670C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356FADFD" w14:textId="77777777" w:rsidR="001670C8" w:rsidRPr="002F2963" w:rsidRDefault="001670C8" w:rsidP="00A76779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187282D4" w14:textId="530ECADB" w:rsidR="00F7011C" w:rsidRPr="00B21F5B" w:rsidRDefault="00B21F5B" w:rsidP="00B21F5B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D3168F">
        <w:rPr>
          <w:rFonts w:ascii="Arial" w:hAnsi="Arial" w:cs="Arial"/>
          <w:b/>
          <w:sz w:val="20"/>
          <w:lang w:val="en-US"/>
        </w:rPr>
        <w:t>WOODWORKING TECHNOLOGY:</w:t>
      </w:r>
      <w:r w:rsidR="008F4FEF" w:rsidRPr="00B21F5B">
        <w:rPr>
          <w:rFonts w:ascii="Arial" w:hAnsi="Arial" w:cs="Arial"/>
          <w:b/>
          <w:color w:val="000000" w:themeColor="text1"/>
          <w:sz w:val="20"/>
        </w:rPr>
        <w:t xml:space="preserve"> </w:t>
      </w:r>
      <w:r w:rsidRPr="00D3168F">
        <w:rPr>
          <w:rFonts w:ascii="Arial" w:hAnsi="Arial" w:cs="Arial"/>
          <w:b/>
          <w:sz w:val="20"/>
          <w:lang w:val="en-US"/>
        </w:rPr>
        <w:t>BACK TO NORMAL?</w:t>
      </w:r>
    </w:p>
    <w:p w14:paraId="7C11B02A" w14:textId="77777777" w:rsidR="00F7011C" w:rsidRPr="002F2963" w:rsidRDefault="00F7011C" w:rsidP="00F7011C">
      <w:pPr>
        <w:rPr>
          <w:rFonts w:ascii="Arial" w:hAnsi="Arial" w:cs="Arial"/>
          <w:color w:val="000000" w:themeColor="text1"/>
          <w:sz w:val="20"/>
        </w:rPr>
      </w:pPr>
    </w:p>
    <w:p w14:paraId="4DA04174" w14:textId="62DDE382" w:rsidR="00423CEB" w:rsidRPr="002939EF" w:rsidRDefault="00B21F5B" w:rsidP="002939EF">
      <w:pPr>
        <w:ind w:left="426"/>
        <w:rPr>
          <w:rFonts w:ascii="Arial" w:hAnsi="Arial" w:cs="Arial"/>
          <w:color w:val="000000" w:themeColor="text1"/>
          <w:sz w:val="20"/>
        </w:rPr>
      </w:pPr>
      <w:r w:rsidRPr="00D3168F">
        <w:rPr>
          <w:rFonts w:ascii="Arial" w:hAnsi="Arial" w:cs="Arial"/>
          <w:sz w:val="20"/>
          <w:lang w:val="en-US"/>
        </w:rPr>
        <w:t xml:space="preserve">The </w:t>
      </w:r>
      <w:r w:rsidRPr="00D3168F">
        <w:rPr>
          <w:rFonts w:ascii="Arial" w:hAnsi="Arial" w:cs="Arial"/>
          <w:b/>
          <w:bCs/>
          <w:sz w:val="20"/>
          <w:lang w:val="en-US"/>
        </w:rPr>
        <w:t>fi</w:t>
      </w:r>
      <w:r w:rsidR="002939EF" w:rsidRPr="00D3168F">
        <w:rPr>
          <w:rFonts w:ascii="Arial" w:hAnsi="Arial" w:cs="Arial"/>
          <w:b/>
          <w:bCs/>
          <w:sz w:val="20"/>
          <w:lang w:val="en-US"/>
        </w:rPr>
        <w:t>r</w:t>
      </w:r>
      <w:r w:rsidRPr="00D3168F">
        <w:rPr>
          <w:rFonts w:ascii="Arial" w:hAnsi="Arial" w:cs="Arial"/>
          <w:b/>
          <w:bCs/>
          <w:sz w:val="20"/>
          <w:lang w:val="en-US"/>
        </w:rPr>
        <w:t>st quarter 2023</w:t>
      </w:r>
      <w:r w:rsidRPr="00D3168F">
        <w:rPr>
          <w:rFonts w:ascii="Arial" w:hAnsi="Arial" w:cs="Arial"/>
          <w:sz w:val="20"/>
          <w:lang w:val="en-US"/>
        </w:rPr>
        <w:t xml:space="preserve"> </w:t>
      </w:r>
      <w:r w:rsidR="002939EF" w:rsidRPr="00D3168F">
        <w:rPr>
          <w:rFonts w:ascii="Arial" w:hAnsi="Arial" w:cs="Arial"/>
          <w:sz w:val="20"/>
          <w:lang w:val="en-US"/>
        </w:rPr>
        <w:t xml:space="preserve">confirmed a </w:t>
      </w:r>
      <w:r w:rsidR="002939EF" w:rsidRPr="00D3168F">
        <w:rPr>
          <w:rFonts w:ascii="Arial" w:hAnsi="Arial" w:cs="Arial"/>
          <w:b/>
          <w:bCs/>
          <w:sz w:val="20"/>
          <w:lang w:val="en-US"/>
        </w:rPr>
        <w:t>slowdown of orders</w:t>
      </w:r>
      <w:r w:rsidR="002939EF" w:rsidRPr="00D3168F">
        <w:rPr>
          <w:rFonts w:ascii="Arial" w:hAnsi="Arial" w:cs="Arial"/>
          <w:sz w:val="20"/>
          <w:lang w:val="en-US"/>
        </w:rPr>
        <w:t xml:space="preserve"> for Italian woodworking and furniture technology.</w:t>
      </w:r>
      <w:r w:rsidR="00F7011C" w:rsidRPr="002939EF">
        <w:rPr>
          <w:rFonts w:ascii="Arial" w:hAnsi="Arial" w:cs="Arial"/>
          <w:color w:val="000000" w:themeColor="text1"/>
          <w:sz w:val="20"/>
        </w:rPr>
        <w:t xml:space="preserve"> </w:t>
      </w:r>
      <w:r w:rsidR="002939EF" w:rsidRPr="00D3168F">
        <w:rPr>
          <w:rFonts w:ascii="Arial" w:hAnsi="Arial" w:cs="Arial"/>
          <w:sz w:val="20"/>
          <w:lang w:val="en-US"/>
        </w:rPr>
        <w:t xml:space="preserve">The quarterly survey by the Studies Office of </w:t>
      </w:r>
      <w:r w:rsidR="002939EF" w:rsidRPr="00D3168F">
        <w:rPr>
          <w:rFonts w:ascii="Arial" w:hAnsi="Arial" w:cs="Arial"/>
          <w:b/>
          <w:bCs/>
          <w:sz w:val="20"/>
          <w:lang w:val="en-US"/>
        </w:rPr>
        <w:t>Acimall</w:t>
      </w:r>
      <w:r w:rsidR="002939EF" w:rsidRPr="00D3168F">
        <w:rPr>
          <w:rFonts w:ascii="Arial" w:hAnsi="Arial" w:cs="Arial"/>
          <w:sz w:val="20"/>
          <w:lang w:val="en-US"/>
        </w:rPr>
        <w:t xml:space="preserve"> (the association of Italian woodworking technology manufacturers) shows a negative trend for the fourth quarter in a row.</w:t>
      </w:r>
      <w:r w:rsidR="0086642A" w:rsidRPr="002939EF">
        <w:rPr>
          <w:rFonts w:ascii="Arial" w:hAnsi="Arial" w:cs="Arial"/>
          <w:color w:val="000000" w:themeColor="text1"/>
          <w:sz w:val="20"/>
        </w:rPr>
        <w:t xml:space="preserve"> </w:t>
      </w:r>
      <w:r w:rsidR="002939EF" w:rsidRPr="00D3168F">
        <w:rPr>
          <w:rFonts w:ascii="Arial" w:hAnsi="Arial" w:cs="Arial"/>
          <w:sz w:val="20"/>
          <w:lang w:val="en-US"/>
        </w:rPr>
        <w:t>This information must be evaluated accurately, especially considering the exceptional growth that characterized the second part of 2020 and the whole year 2021, recording a trend that has been unprecedented in the past decades.</w:t>
      </w:r>
      <w:r w:rsidR="00423CEB" w:rsidRPr="002939EF">
        <w:rPr>
          <w:rFonts w:ascii="Arial" w:hAnsi="Arial" w:cs="Arial"/>
          <w:color w:val="000000" w:themeColor="text1"/>
          <w:sz w:val="20"/>
        </w:rPr>
        <w:t xml:space="preserve"> </w:t>
      </w:r>
      <w:r w:rsidR="002939EF" w:rsidRPr="00D3168F">
        <w:rPr>
          <w:rFonts w:ascii="Arial" w:hAnsi="Arial" w:cs="Arial"/>
          <w:sz w:val="20"/>
          <w:lang w:val="en-US"/>
        </w:rPr>
        <w:t>The slowdown that started in the second quarter of 2021 can be considered “physiological”, but the negative trend in the January-March 2023 period causes some worries.</w:t>
      </w:r>
    </w:p>
    <w:p w14:paraId="17FBE545" w14:textId="10265AC2" w:rsidR="00F7011C" w:rsidRPr="002939EF" w:rsidRDefault="002939EF" w:rsidP="002939EF">
      <w:pPr>
        <w:ind w:left="426"/>
        <w:rPr>
          <w:rFonts w:ascii="Arial" w:hAnsi="Arial" w:cs="Arial"/>
          <w:color w:val="000000" w:themeColor="text1"/>
          <w:sz w:val="20"/>
        </w:rPr>
      </w:pPr>
      <w:r w:rsidRPr="00D3168F">
        <w:rPr>
          <w:rFonts w:ascii="Arial" w:hAnsi="Arial" w:cs="Arial"/>
          <w:sz w:val="20"/>
          <w:lang w:val="en-US"/>
        </w:rPr>
        <w:t xml:space="preserve">In the first quarter of this year, </w:t>
      </w:r>
      <w:r w:rsidRPr="00D3168F">
        <w:rPr>
          <w:rFonts w:ascii="Arial" w:hAnsi="Arial" w:cs="Arial"/>
          <w:b/>
          <w:bCs/>
          <w:sz w:val="20"/>
          <w:lang w:val="en-US"/>
        </w:rPr>
        <w:t xml:space="preserve">orders </w:t>
      </w:r>
      <w:r w:rsidRPr="00D3168F">
        <w:rPr>
          <w:rFonts w:ascii="Arial" w:hAnsi="Arial" w:cs="Arial"/>
          <w:sz w:val="20"/>
          <w:lang w:val="en-US"/>
        </w:rPr>
        <w:t xml:space="preserve">recorded a </w:t>
      </w:r>
      <w:r w:rsidRPr="00D3168F">
        <w:rPr>
          <w:rFonts w:ascii="Arial" w:hAnsi="Arial" w:cs="Arial"/>
          <w:b/>
          <w:bCs/>
          <w:sz w:val="20"/>
          <w:lang w:val="en-US"/>
        </w:rPr>
        <w:t>25.7 percent reduction</w:t>
      </w:r>
      <w:r w:rsidRPr="00D3168F">
        <w:rPr>
          <w:rFonts w:ascii="Arial" w:hAnsi="Arial" w:cs="Arial"/>
          <w:sz w:val="20"/>
          <w:lang w:val="en-US"/>
        </w:rPr>
        <w:t xml:space="preserve"> compared to the same period of the previous year, due to decreasing demand from </w:t>
      </w:r>
      <w:r w:rsidRPr="00D3168F">
        <w:rPr>
          <w:rFonts w:ascii="Arial" w:hAnsi="Arial" w:cs="Arial"/>
          <w:b/>
          <w:sz w:val="20"/>
          <w:lang w:val="en-US"/>
        </w:rPr>
        <w:t>international markets (down by 20.6 percent)</w:t>
      </w:r>
      <w:r w:rsidRPr="00D3168F">
        <w:rPr>
          <w:rFonts w:ascii="Arial" w:hAnsi="Arial" w:cs="Arial"/>
          <w:sz w:val="20"/>
          <w:lang w:val="en-US"/>
        </w:rPr>
        <w:t xml:space="preserve"> and the significant shrinkage of the </w:t>
      </w:r>
      <w:r w:rsidRPr="00D3168F">
        <w:rPr>
          <w:rFonts w:ascii="Arial" w:hAnsi="Arial" w:cs="Arial"/>
          <w:b/>
          <w:sz w:val="20"/>
          <w:lang w:val="en-US"/>
        </w:rPr>
        <w:t>domestic market (minus 38.9 percent)</w:t>
      </w:r>
      <w:r w:rsidRPr="00D3168F">
        <w:rPr>
          <w:rFonts w:ascii="Arial" w:hAnsi="Arial" w:cs="Arial"/>
          <w:sz w:val="20"/>
          <w:lang w:val="en-US"/>
        </w:rPr>
        <w:t>.</w:t>
      </w:r>
    </w:p>
    <w:p w14:paraId="359751A6" w14:textId="77777777" w:rsidR="009720DF" w:rsidRPr="002F2963" w:rsidRDefault="009720DF" w:rsidP="009720DF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09240F05" w14:textId="728F6CD5" w:rsidR="00F7011C" w:rsidRPr="002F2963" w:rsidRDefault="002939EF" w:rsidP="000D2532">
      <w:pPr>
        <w:ind w:left="426"/>
        <w:rPr>
          <w:rFonts w:ascii="Arial" w:hAnsi="Arial" w:cs="Arial"/>
          <w:color w:val="000000" w:themeColor="text1"/>
          <w:sz w:val="20"/>
        </w:rPr>
      </w:pPr>
      <w:r w:rsidRPr="00D3168F">
        <w:rPr>
          <w:rFonts w:ascii="Arial" w:hAnsi="Arial" w:cs="Arial"/>
          <w:sz w:val="20"/>
          <w:lang w:val="en-US"/>
        </w:rPr>
        <w:t>It should also be noticed that the period of comparison, January-</w:t>
      </w:r>
      <w:r w:rsidR="00D3168F">
        <w:rPr>
          <w:rFonts w:ascii="Arial" w:hAnsi="Arial" w:cs="Arial"/>
          <w:sz w:val="20"/>
          <w:lang w:val="en-US"/>
        </w:rPr>
        <w:t>M</w:t>
      </w:r>
      <w:r w:rsidRPr="00D3168F">
        <w:rPr>
          <w:rFonts w:ascii="Arial" w:hAnsi="Arial" w:cs="Arial"/>
          <w:sz w:val="20"/>
          <w:lang w:val="en-US"/>
        </w:rPr>
        <w:t xml:space="preserve">arch 2022, was still an expansion phase, with significant growth rates in Italy and abroad, supported by public subsidies in many countries that, on one hand, </w:t>
      </w:r>
      <w:r w:rsidR="000D2532" w:rsidRPr="00D3168F">
        <w:rPr>
          <w:rFonts w:ascii="Arial" w:hAnsi="Arial" w:cs="Arial"/>
          <w:sz w:val="20"/>
          <w:lang w:val="en-US"/>
        </w:rPr>
        <w:t>really helped many industries overcome the consequences of the global sanitary emergency, but on the other, altered the normal evolution of the market</w:t>
      </w:r>
      <w:r w:rsidRPr="00D3168F">
        <w:rPr>
          <w:rFonts w:ascii="Arial" w:hAnsi="Arial" w:cs="Arial"/>
          <w:sz w:val="20"/>
          <w:lang w:val="en-US"/>
        </w:rPr>
        <w:t>.</w:t>
      </w:r>
      <w:r w:rsidR="00F7011C" w:rsidRPr="000D2532">
        <w:rPr>
          <w:rFonts w:ascii="Arial" w:hAnsi="Arial" w:cs="Arial"/>
          <w:color w:val="000000" w:themeColor="text1"/>
          <w:sz w:val="20"/>
        </w:rPr>
        <w:t xml:space="preserve"> </w:t>
      </w:r>
    </w:p>
    <w:p w14:paraId="4760F1C2" w14:textId="77777777" w:rsidR="00F7011C" w:rsidRPr="002F2963" w:rsidRDefault="00F7011C" w:rsidP="00F7011C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6D276921" w14:textId="42ECD89A" w:rsidR="00F7011C" w:rsidRPr="000D2532" w:rsidRDefault="000D2532" w:rsidP="000D2532">
      <w:pPr>
        <w:ind w:left="426"/>
        <w:rPr>
          <w:rFonts w:ascii="Arial" w:hAnsi="Arial" w:cs="Arial"/>
          <w:color w:val="000000" w:themeColor="text1"/>
          <w:sz w:val="20"/>
        </w:rPr>
      </w:pPr>
      <w:r w:rsidRPr="00D3168F">
        <w:rPr>
          <w:rFonts w:ascii="Arial" w:hAnsi="Arial" w:cs="Arial"/>
          <w:sz w:val="20"/>
          <w:lang w:val="en-US"/>
        </w:rPr>
        <w:t xml:space="preserve">The reduction of orders is reflected onto the </w:t>
      </w:r>
      <w:r w:rsidRPr="00D3168F">
        <w:rPr>
          <w:rFonts w:ascii="Arial" w:hAnsi="Arial" w:cs="Arial"/>
          <w:b/>
          <w:bCs/>
          <w:sz w:val="20"/>
          <w:lang w:val="en-US"/>
        </w:rPr>
        <w:t>months of ensured production</w:t>
      </w:r>
      <w:r w:rsidRPr="00D3168F">
        <w:rPr>
          <w:rFonts w:ascii="Arial" w:hAnsi="Arial" w:cs="Arial"/>
          <w:sz w:val="20"/>
          <w:lang w:val="en-US"/>
        </w:rPr>
        <w:t>, dropping from an average of 6.1 months in October-December 2022 to 5.2 months in January-March 2023.</w:t>
      </w:r>
    </w:p>
    <w:p w14:paraId="1BF90609" w14:textId="77777777" w:rsidR="00F7011C" w:rsidRPr="002F2963" w:rsidRDefault="00F7011C" w:rsidP="00F7011C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3B69423D" w14:textId="5A63B23E" w:rsidR="00AB4D14" w:rsidRPr="000D2532" w:rsidRDefault="000D2532" w:rsidP="000D2532">
      <w:pPr>
        <w:ind w:left="426"/>
        <w:rPr>
          <w:rFonts w:ascii="Arial" w:hAnsi="Arial" w:cs="Arial"/>
          <w:color w:val="000000" w:themeColor="text1"/>
          <w:sz w:val="20"/>
        </w:rPr>
      </w:pPr>
      <w:r w:rsidRPr="00D3168F">
        <w:rPr>
          <w:rFonts w:ascii="Arial" w:hAnsi="Arial" w:cs="Arial"/>
          <w:sz w:val="20"/>
          <w:lang w:val="en-US"/>
        </w:rPr>
        <w:t xml:space="preserve">The inflation trend – which in 2022 was in line with the economy in general – seems to be braking in the first months of 2023: the increase of </w:t>
      </w:r>
      <w:r w:rsidRPr="00D3168F">
        <w:rPr>
          <w:rFonts w:ascii="Arial" w:hAnsi="Arial" w:cs="Arial"/>
          <w:b/>
          <w:bCs/>
          <w:sz w:val="20"/>
          <w:lang w:val="en-US"/>
        </w:rPr>
        <w:t>sales prices</w:t>
      </w:r>
      <w:r w:rsidRPr="00D3168F">
        <w:rPr>
          <w:rFonts w:ascii="Arial" w:hAnsi="Arial" w:cs="Arial"/>
          <w:sz w:val="20"/>
          <w:lang w:val="en-US"/>
        </w:rPr>
        <w:t xml:space="preserve"> for Italian wood and furniture technology was limited to 0.6 percent.</w:t>
      </w:r>
    </w:p>
    <w:p w14:paraId="501EF620" w14:textId="77777777" w:rsidR="00AB4D14" w:rsidRPr="002F2963" w:rsidRDefault="00AB4D14" w:rsidP="00AB4D14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4ED50CE8" w14:textId="6DD33309" w:rsidR="00AB4D14" w:rsidRPr="000D2532" w:rsidRDefault="000D2532" w:rsidP="000D2532">
      <w:pPr>
        <w:ind w:left="426"/>
        <w:rPr>
          <w:rFonts w:ascii="Arial" w:hAnsi="Arial" w:cs="Arial"/>
          <w:color w:val="000000" w:themeColor="text1"/>
          <w:sz w:val="20"/>
        </w:rPr>
      </w:pPr>
      <w:r w:rsidRPr="00D3168F">
        <w:rPr>
          <w:rFonts w:ascii="Arial" w:hAnsi="Arial" w:cs="Arial"/>
          <w:sz w:val="20"/>
          <w:lang w:val="en-US"/>
        </w:rPr>
        <w:t xml:space="preserve">The opinions collected by the </w:t>
      </w:r>
      <w:r w:rsidRPr="00D3168F">
        <w:rPr>
          <w:rFonts w:ascii="Arial" w:hAnsi="Arial" w:cs="Arial"/>
          <w:b/>
          <w:bCs/>
          <w:sz w:val="20"/>
          <w:lang w:val="en-US"/>
        </w:rPr>
        <w:t>quality survey</w:t>
      </w:r>
      <w:r w:rsidRPr="00D3168F">
        <w:rPr>
          <w:rFonts w:ascii="Arial" w:hAnsi="Arial" w:cs="Arial"/>
          <w:sz w:val="20"/>
          <w:lang w:val="en-US"/>
        </w:rPr>
        <w:t xml:space="preserve"> for the quarter under scrutiny reveal that the interviewed companies expect substantial stability of </w:t>
      </w:r>
      <w:r w:rsidRPr="00D3168F">
        <w:rPr>
          <w:rFonts w:ascii="Arial" w:hAnsi="Arial" w:cs="Arial"/>
          <w:b/>
          <w:bCs/>
          <w:sz w:val="20"/>
          <w:lang w:val="en-US"/>
        </w:rPr>
        <w:t>production</w:t>
      </w:r>
      <w:r w:rsidRPr="00D3168F">
        <w:rPr>
          <w:rFonts w:ascii="Arial" w:hAnsi="Arial" w:cs="Arial"/>
          <w:sz w:val="20"/>
          <w:lang w:val="en-US"/>
        </w:rPr>
        <w:t xml:space="preserve"> (71 percent), while 24 percent indicates a growing trend and 5 percent a decrease.</w:t>
      </w:r>
      <w:r w:rsidR="00762E78" w:rsidRPr="000D2532">
        <w:rPr>
          <w:rFonts w:ascii="Arial" w:hAnsi="Arial" w:cs="Arial"/>
          <w:color w:val="000000" w:themeColor="text1"/>
          <w:sz w:val="20"/>
        </w:rPr>
        <w:t xml:space="preserve"> </w:t>
      </w:r>
      <w:r w:rsidRPr="00D3168F">
        <w:rPr>
          <w:rFonts w:ascii="Arial" w:hAnsi="Arial" w:cs="Arial"/>
          <w:b/>
          <w:bCs/>
          <w:sz w:val="20"/>
          <w:lang w:val="en-US"/>
        </w:rPr>
        <w:t>Employment</w:t>
      </w:r>
      <w:r w:rsidRPr="00D3168F">
        <w:rPr>
          <w:rFonts w:ascii="Arial" w:hAnsi="Arial" w:cs="Arial"/>
          <w:sz w:val="20"/>
          <w:lang w:val="en-US"/>
        </w:rPr>
        <w:t xml:space="preserve"> is increasing according to 14 percent of the sample, stationary for 81 percent, decreasing for 5 percent.</w:t>
      </w:r>
      <w:r w:rsidR="00AB4D14" w:rsidRPr="000D2532">
        <w:rPr>
          <w:rFonts w:ascii="Arial" w:hAnsi="Arial" w:cs="Arial"/>
          <w:color w:val="000000" w:themeColor="text1"/>
          <w:sz w:val="20"/>
        </w:rPr>
        <w:t xml:space="preserve"> </w:t>
      </w:r>
      <w:r w:rsidRPr="00D3168F">
        <w:rPr>
          <w:rFonts w:ascii="Arial" w:hAnsi="Arial" w:cs="Arial"/>
          <w:b/>
          <w:sz w:val="20"/>
          <w:lang w:val="en-US"/>
        </w:rPr>
        <w:t>Available stocks</w:t>
      </w:r>
      <w:r w:rsidRPr="00D3168F">
        <w:rPr>
          <w:rFonts w:ascii="Arial" w:hAnsi="Arial" w:cs="Arial"/>
          <w:sz w:val="20"/>
          <w:lang w:val="en-US"/>
        </w:rPr>
        <w:t xml:space="preserve"> are stable for 62 percent of the interviewees, while the remaining 38 percent is equally divided between those who indicate an increase (19 percent) and a reduction (19 percent).</w:t>
      </w:r>
    </w:p>
    <w:p w14:paraId="5E5CED9B" w14:textId="77777777" w:rsidR="00AB4D14" w:rsidRPr="002F2963" w:rsidRDefault="00AB4D14" w:rsidP="00AB4D14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</w:rPr>
      </w:pPr>
    </w:p>
    <w:p w14:paraId="2E143E88" w14:textId="7359F222" w:rsidR="008570D7" w:rsidRPr="00181B4A" w:rsidRDefault="000D2532" w:rsidP="00181B4A">
      <w:pPr>
        <w:ind w:left="426"/>
        <w:rPr>
          <w:rFonts w:ascii="Arial" w:hAnsi="Arial" w:cs="Arial"/>
          <w:color w:val="000000" w:themeColor="text1"/>
          <w:sz w:val="20"/>
        </w:rPr>
      </w:pPr>
      <w:r w:rsidRPr="00D3168F">
        <w:rPr>
          <w:rFonts w:ascii="Arial" w:hAnsi="Arial" w:cs="Arial"/>
          <w:sz w:val="20"/>
          <w:lang w:val="en-US"/>
        </w:rPr>
        <w:t xml:space="preserve">The </w:t>
      </w:r>
      <w:r w:rsidRPr="00D3168F">
        <w:rPr>
          <w:rFonts w:ascii="Arial" w:hAnsi="Arial" w:cs="Arial"/>
          <w:b/>
          <w:sz w:val="20"/>
          <w:lang w:val="en-US"/>
        </w:rPr>
        <w:t>forecast survey</w:t>
      </w:r>
      <w:r w:rsidRPr="00D3168F">
        <w:rPr>
          <w:rFonts w:ascii="Arial" w:hAnsi="Arial" w:cs="Arial"/>
          <w:sz w:val="20"/>
          <w:lang w:val="en-US"/>
        </w:rPr>
        <w:t xml:space="preserve"> gives an overview of the scenarios that might emerge in the short term: 38 percent of the sample expect a substantial stability of orders from the </w:t>
      </w:r>
      <w:r w:rsidRPr="00D3168F">
        <w:rPr>
          <w:rFonts w:ascii="Arial" w:hAnsi="Arial" w:cs="Arial"/>
          <w:b/>
          <w:bCs/>
          <w:sz w:val="20"/>
          <w:lang w:val="en-US"/>
        </w:rPr>
        <w:t>foreign markets</w:t>
      </w:r>
      <w:r w:rsidRPr="00D3168F">
        <w:rPr>
          <w:rFonts w:ascii="Arial" w:hAnsi="Arial" w:cs="Arial"/>
          <w:sz w:val="20"/>
          <w:lang w:val="en-US"/>
        </w:rPr>
        <w:t>; such orders will decrease according to 38 percent and further increase according to 24 percent.</w:t>
      </w:r>
      <w:r w:rsidR="008570D7" w:rsidRPr="000D2532">
        <w:rPr>
          <w:rFonts w:ascii="Arial" w:hAnsi="Arial" w:cs="Arial"/>
          <w:color w:val="000000" w:themeColor="text1"/>
          <w:sz w:val="20"/>
        </w:rPr>
        <w:t xml:space="preserve"> </w:t>
      </w:r>
      <w:r w:rsidRPr="00D3168F">
        <w:rPr>
          <w:rFonts w:ascii="Arial" w:hAnsi="Arial" w:cs="Arial"/>
          <w:sz w:val="20"/>
          <w:lang w:val="en-US"/>
        </w:rPr>
        <w:t xml:space="preserve">Looking at the </w:t>
      </w:r>
      <w:r w:rsidRPr="00D3168F">
        <w:rPr>
          <w:rFonts w:ascii="Arial" w:hAnsi="Arial" w:cs="Arial"/>
          <w:b/>
          <w:sz w:val="20"/>
          <w:lang w:val="en-US"/>
        </w:rPr>
        <w:t>Italian market</w:t>
      </w:r>
      <w:r w:rsidRPr="00D3168F">
        <w:rPr>
          <w:rFonts w:ascii="Arial" w:hAnsi="Arial" w:cs="Arial"/>
          <w:sz w:val="20"/>
          <w:lang w:val="en-US"/>
        </w:rPr>
        <w:t xml:space="preserve">, 57 percent of the interviewees predict substantial stability, 19 percent increasing orders and </w:t>
      </w:r>
      <w:r w:rsidR="00BF6DD8">
        <w:rPr>
          <w:rFonts w:ascii="Arial" w:hAnsi="Arial" w:cs="Arial"/>
          <w:sz w:val="20"/>
          <w:lang w:val="en-US"/>
        </w:rPr>
        <w:t>2</w:t>
      </w:r>
      <w:r w:rsidRPr="00D3168F">
        <w:rPr>
          <w:rFonts w:ascii="Arial" w:hAnsi="Arial" w:cs="Arial"/>
          <w:sz w:val="20"/>
          <w:lang w:val="en-US"/>
        </w:rPr>
        <w:t>4 percent decreasing orders.</w:t>
      </w:r>
    </w:p>
    <w:p w14:paraId="59AFBE79" w14:textId="77777777" w:rsidR="008570D7" w:rsidRPr="002F2963" w:rsidRDefault="008570D7" w:rsidP="008570D7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462B0458" w14:textId="77777777" w:rsidR="008570D7" w:rsidRPr="002F2963" w:rsidRDefault="008570D7" w:rsidP="008570D7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7B527C61" w14:textId="77777777" w:rsidR="008570D7" w:rsidRPr="002F2963" w:rsidRDefault="008570D7" w:rsidP="00762E78">
      <w:pPr>
        <w:rPr>
          <w:rFonts w:ascii="Arial" w:hAnsi="Arial" w:cs="Arial"/>
          <w:color w:val="000000" w:themeColor="text1"/>
          <w:sz w:val="20"/>
        </w:rPr>
      </w:pPr>
    </w:p>
    <w:p w14:paraId="267AA255" w14:textId="42935B55" w:rsidR="00840088" w:rsidRPr="00181B4A" w:rsidRDefault="00181B4A" w:rsidP="00181B4A">
      <w:pPr>
        <w:ind w:left="426"/>
        <w:rPr>
          <w:rFonts w:ascii="Arial" w:hAnsi="Arial" w:cs="Arial"/>
          <w:color w:val="000000" w:themeColor="text1"/>
          <w:sz w:val="20"/>
        </w:rPr>
      </w:pPr>
      <w:r w:rsidRPr="00D3168F">
        <w:rPr>
          <w:rFonts w:ascii="Arial" w:hAnsi="Arial" w:cs="Arial"/>
          <w:i/>
          <w:sz w:val="20"/>
          <w:lang w:val="en-US"/>
        </w:rPr>
        <w:t>For more information:</w:t>
      </w:r>
    </w:p>
    <w:p w14:paraId="49B24B8E" w14:textId="77777777" w:rsidR="00840088" w:rsidRPr="002F2963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2F2963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580954A9" w14:textId="77777777" w:rsidR="00AF50EF" w:rsidRPr="00C95E79" w:rsidRDefault="00840088" w:rsidP="008570D7">
      <w:pPr>
        <w:tabs>
          <w:tab w:val="left" w:pos="560"/>
        </w:tabs>
        <w:ind w:left="426"/>
        <w:jc w:val="both"/>
        <w:outlineLvl w:val="0"/>
        <w:rPr>
          <w:rFonts w:ascii="Arial" w:hAnsi="Arial"/>
          <w:color w:val="000000" w:themeColor="text1"/>
          <w:sz w:val="20"/>
          <w:u w:val="single"/>
        </w:rPr>
      </w:pPr>
      <w:r w:rsidRPr="002F2963">
        <w:rPr>
          <w:rFonts w:ascii="Arial" w:hAnsi="Arial" w:cs="Arial"/>
          <w:color w:val="000000" w:themeColor="text1"/>
          <w:sz w:val="20"/>
        </w:rPr>
        <w:t>+39 3</w:t>
      </w:r>
      <w:r w:rsidR="0068221D" w:rsidRPr="002F2963">
        <w:rPr>
          <w:rFonts w:ascii="Arial" w:hAnsi="Arial" w:cs="Arial"/>
          <w:color w:val="000000" w:themeColor="text1"/>
          <w:sz w:val="20"/>
        </w:rPr>
        <w:t>51</w:t>
      </w:r>
      <w:r w:rsidRPr="002F2963">
        <w:rPr>
          <w:rFonts w:ascii="Arial" w:hAnsi="Arial" w:cs="Arial"/>
          <w:color w:val="000000" w:themeColor="text1"/>
          <w:sz w:val="20"/>
        </w:rPr>
        <w:t xml:space="preserve"> </w:t>
      </w:r>
      <w:r w:rsidR="0068221D" w:rsidRPr="002F2963">
        <w:rPr>
          <w:rFonts w:ascii="Arial" w:hAnsi="Arial" w:cs="Arial"/>
          <w:color w:val="000000" w:themeColor="text1"/>
          <w:sz w:val="20"/>
        </w:rPr>
        <w:t>9098189</w:t>
      </w:r>
      <w:r w:rsidRPr="002F2963">
        <w:rPr>
          <w:rFonts w:ascii="Arial" w:hAnsi="Arial" w:cs="Arial"/>
          <w:color w:val="000000" w:themeColor="text1"/>
          <w:sz w:val="20"/>
        </w:rPr>
        <w:t xml:space="preserve"> - </w:t>
      </w:r>
      <w:hyperlink r:id="rId8" w:history="1">
        <w:r w:rsidRPr="002F2963">
          <w:rPr>
            <w:rStyle w:val="Collegamentoipertestuale"/>
            <w:rFonts w:ascii="Arial" w:hAnsi="Arial" w:cs="Arial"/>
            <w:color w:val="000000" w:themeColor="text1"/>
            <w:sz w:val="20"/>
          </w:rPr>
          <w:t>press@acimall.com</w:t>
        </w:r>
      </w:hyperlink>
    </w:p>
    <w:sectPr w:rsidR="00AF50EF" w:rsidRPr="00C95E79" w:rsidSect="008570D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142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C87F" w14:textId="77777777" w:rsidR="00B14BC2" w:rsidRDefault="00B14BC2">
      <w:r>
        <w:separator/>
      </w:r>
    </w:p>
  </w:endnote>
  <w:endnote w:type="continuationSeparator" w:id="0">
    <w:p w14:paraId="5A069C8F" w14:textId="77777777" w:rsidR="00B14BC2" w:rsidRDefault="00B1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EA61" w14:textId="77777777" w:rsidR="002F2963" w:rsidRDefault="002F296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E68033" w14:textId="77777777" w:rsidR="002F2963" w:rsidRDefault="002F2963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6A00" w14:textId="77777777" w:rsidR="002F2963" w:rsidRDefault="002F2963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110A3E65" w14:textId="77777777" w:rsidR="002F2963" w:rsidRDefault="002F2963">
    <w:pPr>
      <w:pStyle w:val="Pidipagina"/>
      <w:ind w:right="360"/>
    </w:pPr>
    <w:r>
      <w:t xml:space="preserve">   </w:t>
    </w:r>
  </w:p>
  <w:p w14:paraId="51086B9A" w14:textId="77777777" w:rsidR="002F2963" w:rsidRDefault="002F2963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28F8" w14:textId="77777777" w:rsidR="002F2963" w:rsidRDefault="002F2963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7348" w14:textId="77777777" w:rsidR="00B14BC2" w:rsidRDefault="00B14BC2">
      <w:r>
        <w:separator/>
      </w:r>
    </w:p>
  </w:footnote>
  <w:footnote w:type="continuationSeparator" w:id="0">
    <w:p w14:paraId="6E1D6C0B" w14:textId="77777777" w:rsidR="00B14BC2" w:rsidRDefault="00B14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5CA9F" w14:textId="77777777" w:rsidR="002F2963" w:rsidRDefault="002F2963">
    <w:pPr>
      <w:pStyle w:val="Intestazione"/>
      <w:ind w:left="360"/>
    </w:pPr>
  </w:p>
  <w:p w14:paraId="71BB15E4" w14:textId="77777777" w:rsidR="002F2963" w:rsidRDefault="002F2963">
    <w:pPr>
      <w:pStyle w:val="Intestazione"/>
      <w:ind w:left="360"/>
    </w:pPr>
  </w:p>
  <w:p w14:paraId="3143CDC1" w14:textId="77777777" w:rsidR="002F2963" w:rsidRDefault="002F2963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DF1C" w14:textId="77777777" w:rsidR="002F2963" w:rsidRDefault="002F2963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1052210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969748222">
    <w:abstractNumId w:val="2"/>
  </w:num>
  <w:num w:numId="3" w16cid:durableId="1091317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87FD9"/>
    <w:rsid w:val="00095C56"/>
    <w:rsid w:val="000A33AA"/>
    <w:rsid w:val="000B731F"/>
    <w:rsid w:val="000C05B7"/>
    <w:rsid w:val="000C2E18"/>
    <w:rsid w:val="000C4AD3"/>
    <w:rsid w:val="000C5C5F"/>
    <w:rsid w:val="000D2532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670C8"/>
    <w:rsid w:val="001702AD"/>
    <w:rsid w:val="0017075B"/>
    <w:rsid w:val="00174464"/>
    <w:rsid w:val="0018053C"/>
    <w:rsid w:val="00180621"/>
    <w:rsid w:val="001812CA"/>
    <w:rsid w:val="00181B4A"/>
    <w:rsid w:val="00181DE3"/>
    <w:rsid w:val="00194570"/>
    <w:rsid w:val="001956B8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E72A3"/>
    <w:rsid w:val="001F0D52"/>
    <w:rsid w:val="001F51B2"/>
    <w:rsid w:val="002042B0"/>
    <w:rsid w:val="00207FBA"/>
    <w:rsid w:val="00210CF8"/>
    <w:rsid w:val="002178A4"/>
    <w:rsid w:val="00222FBA"/>
    <w:rsid w:val="00224AB3"/>
    <w:rsid w:val="00232B02"/>
    <w:rsid w:val="002545BF"/>
    <w:rsid w:val="002632E5"/>
    <w:rsid w:val="002650C8"/>
    <w:rsid w:val="00272082"/>
    <w:rsid w:val="00277B4A"/>
    <w:rsid w:val="00281E5B"/>
    <w:rsid w:val="00286B70"/>
    <w:rsid w:val="00291DE3"/>
    <w:rsid w:val="002939EF"/>
    <w:rsid w:val="00294EDD"/>
    <w:rsid w:val="002A753A"/>
    <w:rsid w:val="002F11D9"/>
    <w:rsid w:val="002F2963"/>
    <w:rsid w:val="002F5769"/>
    <w:rsid w:val="00304533"/>
    <w:rsid w:val="00305B4C"/>
    <w:rsid w:val="00307139"/>
    <w:rsid w:val="00313979"/>
    <w:rsid w:val="00326C06"/>
    <w:rsid w:val="0034316E"/>
    <w:rsid w:val="00345D05"/>
    <w:rsid w:val="00365C65"/>
    <w:rsid w:val="00366693"/>
    <w:rsid w:val="00366E20"/>
    <w:rsid w:val="00376C83"/>
    <w:rsid w:val="003813DC"/>
    <w:rsid w:val="00381921"/>
    <w:rsid w:val="003838AD"/>
    <w:rsid w:val="00386076"/>
    <w:rsid w:val="003A73F0"/>
    <w:rsid w:val="003B059D"/>
    <w:rsid w:val="003B109F"/>
    <w:rsid w:val="003D3CCC"/>
    <w:rsid w:val="003F1E14"/>
    <w:rsid w:val="003F371B"/>
    <w:rsid w:val="0040219C"/>
    <w:rsid w:val="0040679A"/>
    <w:rsid w:val="00406AB7"/>
    <w:rsid w:val="00416C21"/>
    <w:rsid w:val="00423CEB"/>
    <w:rsid w:val="00434C7E"/>
    <w:rsid w:val="00440FDD"/>
    <w:rsid w:val="004525E1"/>
    <w:rsid w:val="004559D3"/>
    <w:rsid w:val="00463561"/>
    <w:rsid w:val="00471328"/>
    <w:rsid w:val="004720FA"/>
    <w:rsid w:val="004B203B"/>
    <w:rsid w:val="004B3B06"/>
    <w:rsid w:val="004C4277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A2C26"/>
    <w:rsid w:val="005B514B"/>
    <w:rsid w:val="005C3375"/>
    <w:rsid w:val="005C788E"/>
    <w:rsid w:val="005D4C94"/>
    <w:rsid w:val="005D6503"/>
    <w:rsid w:val="005D6F46"/>
    <w:rsid w:val="005D7B5B"/>
    <w:rsid w:val="005E5302"/>
    <w:rsid w:val="005F5DB2"/>
    <w:rsid w:val="0063567C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705D68"/>
    <w:rsid w:val="007122E6"/>
    <w:rsid w:val="00720D6D"/>
    <w:rsid w:val="00724BEA"/>
    <w:rsid w:val="00736007"/>
    <w:rsid w:val="007443A2"/>
    <w:rsid w:val="00760EDC"/>
    <w:rsid w:val="007611D0"/>
    <w:rsid w:val="00762E78"/>
    <w:rsid w:val="00773075"/>
    <w:rsid w:val="00786BB1"/>
    <w:rsid w:val="007A6D51"/>
    <w:rsid w:val="007B2DBD"/>
    <w:rsid w:val="007B3109"/>
    <w:rsid w:val="007B4E57"/>
    <w:rsid w:val="007B72D5"/>
    <w:rsid w:val="007D28CA"/>
    <w:rsid w:val="007E06BB"/>
    <w:rsid w:val="007E5480"/>
    <w:rsid w:val="00800F6A"/>
    <w:rsid w:val="0080513A"/>
    <w:rsid w:val="00807D67"/>
    <w:rsid w:val="00840088"/>
    <w:rsid w:val="00840B4A"/>
    <w:rsid w:val="008570D7"/>
    <w:rsid w:val="00865C7A"/>
    <w:rsid w:val="0086642A"/>
    <w:rsid w:val="0087060B"/>
    <w:rsid w:val="008850FB"/>
    <w:rsid w:val="00891675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7407"/>
    <w:rsid w:val="009201D1"/>
    <w:rsid w:val="00927BEF"/>
    <w:rsid w:val="00932B59"/>
    <w:rsid w:val="00932BC6"/>
    <w:rsid w:val="00941E08"/>
    <w:rsid w:val="00946C6A"/>
    <w:rsid w:val="00947D81"/>
    <w:rsid w:val="00960785"/>
    <w:rsid w:val="009703DB"/>
    <w:rsid w:val="009720DF"/>
    <w:rsid w:val="00972D3C"/>
    <w:rsid w:val="00973A6D"/>
    <w:rsid w:val="00975B1A"/>
    <w:rsid w:val="0097719C"/>
    <w:rsid w:val="00985C7E"/>
    <w:rsid w:val="00990459"/>
    <w:rsid w:val="00991CBC"/>
    <w:rsid w:val="00993D0D"/>
    <w:rsid w:val="009978F4"/>
    <w:rsid w:val="009B47DD"/>
    <w:rsid w:val="009C5B81"/>
    <w:rsid w:val="009C6F87"/>
    <w:rsid w:val="009D300B"/>
    <w:rsid w:val="009E5E5C"/>
    <w:rsid w:val="00A018A0"/>
    <w:rsid w:val="00A029E7"/>
    <w:rsid w:val="00A108DB"/>
    <w:rsid w:val="00A24050"/>
    <w:rsid w:val="00A24489"/>
    <w:rsid w:val="00A2581D"/>
    <w:rsid w:val="00A60694"/>
    <w:rsid w:val="00A76779"/>
    <w:rsid w:val="00A86E2C"/>
    <w:rsid w:val="00AB4D14"/>
    <w:rsid w:val="00AB77FB"/>
    <w:rsid w:val="00AB7930"/>
    <w:rsid w:val="00AE1B9E"/>
    <w:rsid w:val="00AE51EF"/>
    <w:rsid w:val="00AF50EF"/>
    <w:rsid w:val="00B00093"/>
    <w:rsid w:val="00B024BA"/>
    <w:rsid w:val="00B0713B"/>
    <w:rsid w:val="00B10EE6"/>
    <w:rsid w:val="00B14BC2"/>
    <w:rsid w:val="00B21F5B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F2118"/>
    <w:rsid w:val="00BF35BC"/>
    <w:rsid w:val="00BF6DD8"/>
    <w:rsid w:val="00C04852"/>
    <w:rsid w:val="00C07008"/>
    <w:rsid w:val="00C10DE6"/>
    <w:rsid w:val="00C12950"/>
    <w:rsid w:val="00C41993"/>
    <w:rsid w:val="00C435AF"/>
    <w:rsid w:val="00C441DA"/>
    <w:rsid w:val="00C54EF3"/>
    <w:rsid w:val="00C55169"/>
    <w:rsid w:val="00C60722"/>
    <w:rsid w:val="00C639FC"/>
    <w:rsid w:val="00C91D54"/>
    <w:rsid w:val="00C95E79"/>
    <w:rsid w:val="00C96A6C"/>
    <w:rsid w:val="00CB70B1"/>
    <w:rsid w:val="00CE4D8E"/>
    <w:rsid w:val="00CE6324"/>
    <w:rsid w:val="00CE7C6D"/>
    <w:rsid w:val="00D0397B"/>
    <w:rsid w:val="00D04850"/>
    <w:rsid w:val="00D0677A"/>
    <w:rsid w:val="00D10A5D"/>
    <w:rsid w:val="00D16C13"/>
    <w:rsid w:val="00D3168F"/>
    <w:rsid w:val="00D32BC8"/>
    <w:rsid w:val="00D42442"/>
    <w:rsid w:val="00D47E18"/>
    <w:rsid w:val="00D7134F"/>
    <w:rsid w:val="00D91053"/>
    <w:rsid w:val="00D91B3F"/>
    <w:rsid w:val="00DB7438"/>
    <w:rsid w:val="00DC53CF"/>
    <w:rsid w:val="00DD038E"/>
    <w:rsid w:val="00DE3BC7"/>
    <w:rsid w:val="00DE3DFA"/>
    <w:rsid w:val="00E04E31"/>
    <w:rsid w:val="00E07556"/>
    <w:rsid w:val="00E12D44"/>
    <w:rsid w:val="00E2671D"/>
    <w:rsid w:val="00E26F68"/>
    <w:rsid w:val="00E6024D"/>
    <w:rsid w:val="00E60591"/>
    <w:rsid w:val="00E65415"/>
    <w:rsid w:val="00E655B9"/>
    <w:rsid w:val="00E66C6E"/>
    <w:rsid w:val="00EA05AD"/>
    <w:rsid w:val="00ED118D"/>
    <w:rsid w:val="00EF3187"/>
    <w:rsid w:val="00F00863"/>
    <w:rsid w:val="00F01932"/>
    <w:rsid w:val="00F15D95"/>
    <w:rsid w:val="00F259BE"/>
    <w:rsid w:val="00F30178"/>
    <w:rsid w:val="00F3539D"/>
    <w:rsid w:val="00F379D8"/>
    <w:rsid w:val="00F64584"/>
    <w:rsid w:val="00F7011C"/>
    <w:rsid w:val="00F76DF4"/>
    <w:rsid w:val="00FB5D0B"/>
    <w:rsid w:val="00FD043C"/>
    <w:rsid w:val="00FD2F1D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 stroke="f">
      <v:fill color="white"/>
      <v:stroke on="f"/>
    </o:shapedefaults>
    <o:shapelayout v:ext="edit">
      <o:idmap v:ext="edit" data="1"/>
    </o:shapelayout>
  </w:shapeDefaults>
  <w:doNotEmbedSmartTags/>
  <w:decimalSymbol w:val=","/>
  <w:listSeparator w:val=";"/>
  <w14:docId w14:val="62284E42"/>
  <w15:docId w15:val="{6B4801FB-3ABF-40F6-AD33-71AD8DD2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1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3071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2023-05-08T09:02:00Z</cp:lastPrinted>
  <dcterms:created xsi:type="dcterms:W3CDTF">2023-05-11T09:25:00Z</dcterms:created>
  <dcterms:modified xsi:type="dcterms:W3CDTF">2023-05-11T09:25:00Z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