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Pr="004D1EEA" w:rsidRDefault="00C12950" w:rsidP="00A029E7">
            <w:pPr>
              <w:pStyle w:val="Titolo1"/>
              <w:ind w:right="212"/>
              <w:jc w:val="both"/>
              <w:rPr>
                <w:color w:val="000000" w:themeColor="text1"/>
                <w:sz w:val="18"/>
              </w:rPr>
            </w:pPr>
            <w:proofErr w:type="spellStart"/>
            <w:r w:rsidRPr="004D1EEA">
              <w:rPr>
                <w:color w:val="000000" w:themeColor="text1"/>
                <w:sz w:val="18"/>
              </w:rPr>
              <w:t>Acimall</w:t>
            </w:r>
            <w:proofErr w:type="spellEnd"/>
          </w:p>
          <w:p w14:paraId="74123824" w14:textId="77777777" w:rsidR="00C12950" w:rsidRPr="004D1EEA" w:rsidRDefault="00C12950" w:rsidP="00A029E7">
            <w:pPr>
              <w:ind w:right="212"/>
              <w:jc w:val="both"/>
              <w:rPr>
                <w:rFonts w:ascii="Helvetica" w:hAnsi="Helvetica"/>
                <w:color w:val="000000" w:themeColor="text1"/>
                <w:sz w:val="16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 xml:space="preserve">Centro Direzionale </w:t>
            </w:r>
            <w:proofErr w:type="spellStart"/>
            <w:r w:rsidRPr="004D1EEA">
              <w:rPr>
                <w:rFonts w:ascii="Helvetica" w:hAnsi="Helvetica"/>
                <w:color w:val="000000" w:themeColor="text1"/>
                <w:sz w:val="16"/>
              </w:rPr>
              <w:t>Milanofiori</w:t>
            </w:r>
            <w:proofErr w:type="spellEnd"/>
          </w:p>
          <w:p w14:paraId="7A00A7EC" w14:textId="77777777" w:rsidR="00C12950" w:rsidRPr="004D1EEA" w:rsidRDefault="00C12950" w:rsidP="00A029E7">
            <w:pPr>
              <w:ind w:right="212"/>
              <w:jc w:val="both"/>
              <w:rPr>
                <w:rFonts w:ascii="Helvetica" w:hAnsi="Helvetica"/>
                <w:color w:val="000000" w:themeColor="text1"/>
                <w:sz w:val="16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>Strada</w:t>
            </w:r>
            <w:r w:rsidR="000C5C5F" w:rsidRPr="004D1EEA">
              <w:rPr>
                <w:rFonts w:ascii="Helvetica" w:hAnsi="Helvetica"/>
                <w:color w:val="000000" w:themeColor="text1"/>
                <w:sz w:val="16"/>
              </w:rPr>
              <w:t xml:space="preserve"> 1</w:t>
            </w:r>
            <w:r w:rsidRPr="004D1EEA">
              <w:rPr>
                <w:rFonts w:ascii="Helvetica" w:hAnsi="Helvetica"/>
                <w:color w:val="000000" w:themeColor="text1"/>
                <w:sz w:val="16"/>
              </w:rPr>
              <w:t xml:space="preserve"> - Palazzo F3</w:t>
            </w:r>
          </w:p>
          <w:p w14:paraId="063709D7" w14:textId="77777777" w:rsidR="00C12950" w:rsidRPr="004D1EEA" w:rsidRDefault="00C12950" w:rsidP="00A029E7">
            <w:pPr>
              <w:ind w:right="212"/>
              <w:jc w:val="both"/>
              <w:rPr>
                <w:rFonts w:ascii="Helvetica" w:hAnsi="Helvetica"/>
                <w:color w:val="000000" w:themeColor="text1"/>
                <w:sz w:val="16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>I-20090 Assago (Milano)</w:t>
            </w:r>
          </w:p>
          <w:p w14:paraId="08812F63" w14:textId="77777777" w:rsidR="00C12950" w:rsidRPr="004D1EEA" w:rsidRDefault="00C12950" w:rsidP="00A029E7">
            <w:pPr>
              <w:ind w:right="212"/>
              <w:jc w:val="both"/>
              <w:rPr>
                <w:rFonts w:ascii="Helvetica" w:hAnsi="Helvetica"/>
                <w:color w:val="000000" w:themeColor="text1"/>
                <w:sz w:val="16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>phone +39 02 89210200</w:t>
            </w:r>
          </w:p>
          <w:p w14:paraId="5F0397DE" w14:textId="77777777" w:rsidR="00C12950" w:rsidRPr="004D1EEA" w:rsidRDefault="00C12950" w:rsidP="00A029E7">
            <w:pPr>
              <w:ind w:right="212"/>
              <w:jc w:val="both"/>
              <w:rPr>
                <w:rFonts w:ascii="Helvetica" w:hAnsi="Helvetica"/>
                <w:color w:val="000000" w:themeColor="text1"/>
                <w:sz w:val="16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>fax +39 02 8259009</w:t>
            </w:r>
          </w:p>
          <w:p w14:paraId="27E6149D" w14:textId="77777777" w:rsidR="00C12950" w:rsidRPr="004D1EEA" w:rsidRDefault="00C12950" w:rsidP="00A029E7">
            <w:pPr>
              <w:ind w:right="212"/>
              <w:jc w:val="both"/>
              <w:rPr>
                <w:rFonts w:ascii="Helvetica" w:hAnsi="Helvetica"/>
                <w:color w:val="000000" w:themeColor="text1"/>
                <w:sz w:val="16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>www.acimall.com</w:t>
            </w:r>
          </w:p>
          <w:p w14:paraId="40B19344" w14:textId="77777777" w:rsidR="00C12950" w:rsidRPr="004D1EEA" w:rsidRDefault="00C12950" w:rsidP="00A029E7">
            <w:pPr>
              <w:ind w:right="212"/>
              <w:jc w:val="both"/>
              <w:rPr>
                <w:color w:val="000000" w:themeColor="text1"/>
              </w:rPr>
            </w:pPr>
            <w:r w:rsidRPr="004D1EEA">
              <w:rPr>
                <w:rFonts w:ascii="Helvetica" w:hAnsi="Helvetica"/>
                <w:color w:val="000000" w:themeColor="text1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76B756F" w14:textId="3FE1282D" w:rsidR="00C12950" w:rsidRPr="004D1EEA" w:rsidRDefault="003D3CCC" w:rsidP="008E444A">
            <w:pPr>
              <w:ind w:left="-142" w:right="212"/>
              <w:jc w:val="right"/>
              <w:rPr>
                <w:rFonts w:ascii="Helvetica" w:hAnsi="Helvetica"/>
                <w:b/>
                <w:color w:val="000000" w:themeColor="text1"/>
                <w:sz w:val="28"/>
              </w:rPr>
            </w:pPr>
            <w:r w:rsidRPr="004D1EEA">
              <w:rPr>
                <w:rFonts w:ascii="Helvetica" w:hAnsi="Helvetica"/>
                <w:b/>
                <w:color w:val="000000" w:themeColor="text1"/>
                <w:w w:val="108"/>
                <w:kern w:val="22"/>
                <w:sz w:val="28"/>
              </w:rPr>
              <w:t xml:space="preserve"> </w:t>
            </w:r>
            <w:r w:rsidR="007A3403">
              <w:rPr>
                <w:rFonts w:ascii="Helvetica" w:hAnsi="Helvetica"/>
                <w:b/>
                <w:color w:val="000000" w:themeColor="text1"/>
                <w:w w:val="108"/>
                <w:kern w:val="22"/>
                <w:sz w:val="28"/>
              </w:rPr>
              <w:t>press office</w:t>
            </w:r>
          </w:p>
          <w:p w14:paraId="70852C71" w14:textId="712037C0" w:rsidR="00C12950" w:rsidRPr="004D1EEA" w:rsidRDefault="004D1EEA" w:rsidP="008408C9">
            <w:pPr>
              <w:ind w:left="-142" w:right="212"/>
              <w:jc w:val="right"/>
              <w:rPr>
                <w:rFonts w:ascii="Gill Sans MT" w:hAnsi="Gill Sans MT"/>
                <w:b/>
                <w:color w:val="000000" w:themeColor="text1"/>
                <w:sz w:val="14"/>
              </w:rPr>
            </w:pPr>
            <w:r w:rsidRPr="004D1EEA">
              <w:rPr>
                <w:rFonts w:ascii="Helvetica" w:hAnsi="Helvetica"/>
                <w:color w:val="000000" w:themeColor="text1"/>
                <w:sz w:val="14"/>
              </w:rPr>
              <w:t>1</w:t>
            </w:r>
            <w:r w:rsidR="00F50033">
              <w:rPr>
                <w:rFonts w:ascii="Helvetica" w:hAnsi="Helvetica"/>
                <w:color w:val="000000" w:themeColor="text1"/>
                <w:sz w:val="14"/>
              </w:rPr>
              <w:t xml:space="preserve">5 </w:t>
            </w:r>
            <w:proofErr w:type="spellStart"/>
            <w:r w:rsidR="007A3403">
              <w:rPr>
                <w:rFonts w:ascii="Helvetica" w:hAnsi="Helvetica"/>
                <w:color w:val="000000" w:themeColor="text1"/>
                <w:sz w:val="14"/>
              </w:rPr>
              <w:t>December</w:t>
            </w:r>
            <w:proofErr w:type="spellEnd"/>
            <w:r w:rsidR="005D6F46" w:rsidRPr="004D1EEA">
              <w:rPr>
                <w:rFonts w:ascii="Helvetica" w:hAnsi="Helvetica"/>
                <w:color w:val="000000" w:themeColor="text1"/>
                <w:sz w:val="14"/>
              </w:rPr>
              <w:t xml:space="preserve"> 202</w:t>
            </w:r>
            <w:r w:rsidR="00D0397B" w:rsidRPr="004D1EEA">
              <w:rPr>
                <w:rFonts w:ascii="Helvetica" w:hAnsi="Helvetica"/>
                <w:color w:val="000000" w:themeColor="text1"/>
                <w:sz w:val="14"/>
              </w:rPr>
              <w:t>2</w:t>
            </w:r>
          </w:p>
        </w:tc>
      </w:tr>
    </w:tbl>
    <w:p w14:paraId="611215AC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302BE59F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AF431D0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1527D40E" w14:textId="00AD6CED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8386A96" w14:textId="77777777" w:rsidR="00EF3187" w:rsidRDefault="00EF3187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4DF9640" w14:textId="77777777" w:rsidR="009D300B" w:rsidRDefault="009D300B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B33B4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0C3BD8F2" w14:textId="77777777" w:rsidR="007936B8" w:rsidRDefault="00F10A96" w:rsidP="00F10A96">
      <w:pPr>
        <w:tabs>
          <w:tab w:val="left" w:pos="142"/>
        </w:tabs>
        <w:ind w:left="426"/>
        <w:jc w:val="both"/>
        <w:rPr>
          <w:rFonts w:ascii="Arial" w:hAnsi="Arial" w:cs="Arial"/>
          <w:b/>
          <w:sz w:val="20"/>
          <w:lang w:val="en-US"/>
        </w:rPr>
      </w:pPr>
      <w:r w:rsidRPr="00685BEB">
        <w:rPr>
          <w:rFonts w:ascii="Arial" w:hAnsi="Arial" w:cs="Arial"/>
          <w:b/>
          <w:sz w:val="20"/>
          <w:lang w:val="en-US"/>
        </w:rPr>
        <w:t xml:space="preserve">ANOTHER POSITIVE YEAR FOR TECHNOLOGY FOR THE WOODWORKING </w:t>
      </w:r>
    </w:p>
    <w:p w14:paraId="1A40873F" w14:textId="331534B7" w:rsidR="00BC3417" w:rsidRPr="00B245FB" w:rsidRDefault="00F10A96" w:rsidP="00F10A96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  <w:lang w:val="en-GB"/>
        </w:rPr>
      </w:pPr>
      <w:r w:rsidRPr="00685BEB">
        <w:rPr>
          <w:rFonts w:ascii="Arial" w:hAnsi="Arial" w:cs="Arial"/>
          <w:b/>
          <w:sz w:val="20"/>
          <w:lang w:val="en-US"/>
        </w:rPr>
        <w:t>AND FURNITURE INDUSTRY</w:t>
      </w:r>
      <w:r w:rsidR="007936B8">
        <w:rPr>
          <w:rFonts w:ascii="Arial" w:hAnsi="Arial" w:cs="Arial"/>
          <w:b/>
          <w:sz w:val="20"/>
          <w:lang w:val="en-US"/>
        </w:rPr>
        <w:t xml:space="preserve"> </w:t>
      </w:r>
    </w:p>
    <w:p w14:paraId="7C63C18B" w14:textId="1499E318" w:rsidR="007E06BB" w:rsidRPr="00B245FB" w:rsidRDefault="007E06BB" w:rsidP="00D10A5D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  <w:lang w:val="en-GB"/>
        </w:rPr>
      </w:pPr>
    </w:p>
    <w:p w14:paraId="734D89D4" w14:textId="77777777" w:rsidR="00EF3187" w:rsidRPr="00B245FB" w:rsidRDefault="00EF3187" w:rsidP="000A33AA">
      <w:pPr>
        <w:tabs>
          <w:tab w:val="left" w:pos="142"/>
          <w:tab w:val="left" w:pos="426"/>
        </w:tabs>
        <w:jc w:val="both"/>
        <w:rPr>
          <w:rFonts w:ascii="Arial" w:hAnsi="Arial" w:cs="Arial"/>
          <w:b/>
          <w:color w:val="000000" w:themeColor="text1"/>
          <w:sz w:val="20"/>
          <w:lang w:val="en-GB"/>
        </w:rPr>
      </w:pPr>
    </w:p>
    <w:p w14:paraId="2CBC0DDA" w14:textId="2F716D76" w:rsidR="005E61EF" w:rsidRPr="00B245FB" w:rsidRDefault="00F10A96" w:rsidP="00F10A96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GB"/>
        </w:rPr>
      </w:pPr>
      <w:r w:rsidRPr="00685BEB">
        <w:rPr>
          <w:rFonts w:ascii="Arial" w:hAnsi="Arial" w:cs="Arial"/>
          <w:sz w:val="20"/>
          <w:lang w:val="en-US"/>
        </w:rPr>
        <w:t>2022 is closing with another positive result for the world of machinery, equipment and tools for the woodworking and furniture industry.</w:t>
      </w:r>
      <w:r w:rsidR="00F50033" w:rsidRPr="00B245FB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685BEB">
        <w:rPr>
          <w:rFonts w:ascii="Arial" w:hAnsi="Arial" w:cs="Arial"/>
          <w:sz w:val="20"/>
          <w:lang w:val="en-US"/>
        </w:rPr>
        <w:t xml:space="preserve">Based on the data collected by the Studies office of </w:t>
      </w:r>
      <w:proofErr w:type="spellStart"/>
      <w:r w:rsidRPr="00685BEB">
        <w:rPr>
          <w:rFonts w:ascii="Arial" w:hAnsi="Arial" w:cs="Arial"/>
          <w:sz w:val="20"/>
          <w:lang w:val="en-US"/>
        </w:rPr>
        <w:t>Acimall</w:t>
      </w:r>
      <w:proofErr w:type="spellEnd"/>
      <w:r w:rsidRPr="00685BEB">
        <w:rPr>
          <w:rFonts w:ascii="Arial" w:hAnsi="Arial" w:cs="Arial"/>
          <w:sz w:val="20"/>
          <w:lang w:val="en-US"/>
        </w:rPr>
        <w:t xml:space="preserve">, the Confindustria-member association that represents the industry companies, total </w:t>
      </w:r>
      <w:r w:rsidRPr="00685BEB">
        <w:rPr>
          <w:rFonts w:ascii="Arial" w:hAnsi="Arial" w:cs="Arial"/>
          <w:b/>
          <w:sz w:val="20"/>
          <w:lang w:val="en-US"/>
        </w:rPr>
        <w:t>production</w:t>
      </w:r>
      <w:r w:rsidRPr="00685BEB">
        <w:rPr>
          <w:rFonts w:ascii="Arial" w:hAnsi="Arial" w:cs="Arial"/>
          <w:sz w:val="20"/>
          <w:lang w:val="en-US"/>
        </w:rPr>
        <w:t xml:space="preserve"> reached a value of 2.646 billion euro, up by 4.6 percent compared to the previous record in 2021.</w:t>
      </w:r>
      <w:r w:rsidR="001C40F9" w:rsidRPr="00B245FB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</w:p>
    <w:p w14:paraId="5D740004" w14:textId="5FAC1DA3" w:rsidR="00FE501D" w:rsidRPr="00B245FB" w:rsidRDefault="00F10A96" w:rsidP="00F10A96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GB"/>
        </w:rPr>
      </w:pPr>
      <w:r w:rsidRPr="00685BEB">
        <w:rPr>
          <w:rFonts w:ascii="Arial" w:hAnsi="Arial" w:cs="Arial"/>
          <w:sz w:val="20"/>
          <w:lang w:val="en-US"/>
        </w:rPr>
        <w:t xml:space="preserve">The trend of </w:t>
      </w:r>
      <w:r w:rsidRPr="00685BEB">
        <w:rPr>
          <w:rFonts w:ascii="Arial" w:hAnsi="Arial" w:cs="Arial"/>
          <w:b/>
          <w:sz w:val="20"/>
          <w:lang w:val="en-US"/>
        </w:rPr>
        <w:t>export</w:t>
      </w:r>
      <w:r w:rsidRPr="00685BEB">
        <w:rPr>
          <w:rFonts w:ascii="Arial" w:hAnsi="Arial" w:cs="Arial"/>
          <w:sz w:val="20"/>
          <w:lang w:val="en-US"/>
        </w:rPr>
        <w:t xml:space="preserve"> was substantially stable, amounting to 1.757 billion euro (plus one percent over 2021), with </w:t>
      </w:r>
      <w:r w:rsidRPr="00685BEB">
        <w:rPr>
          <w:rFonts w:ascii="Arial" w:hAnsi="Arial" w:cs="Arial"/>
          <w:b/>
          <w:sz w:val="20"/>
          <w:lang w:val="en-US"/>
        </w:rPr>
        <w:t>domestic market</w:t>
      </w:r>
      <w:r w:rsidRPr="00685BEB">
        <w:rPr>
          <w:rFonts w:ascii="Arial" w:hAnsi="Arial" w:cs="Arial"/>
          <w:sz w:val="20"/>
          <w:lang w:val="en-US"/>
        </w:rPr>
        <w:t xml:space="preserve"> sales at 889 million euro, as much as 12.1 percent above the excellent result of last year, marking a new record also for these categories.</w:t>
      </w:r>
    </w:p>
    <w:p w14:paraId="0308B0CC" w14:textId="77777777" w:rsidR="00FE501D" w:rsidRPr="00B245FB" w:rsidRDefault="00FE501D" w:rsidP="002E14A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GB"/>
        </w:rPr>
      </w:pPr>
    </w:p>
    <w:p w14:paraId="7F733C7A" w14:textId="7C942811" w:rsidR="00FE501D" w:rsidRPr="00B245FB" w:rsidRDefault="00F10A96" w:rsidP="00C53603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GB"/>
        </w:rPr>
      </w:pPr>
      <w:r w:rsidRPr="00685BEB">
        <w:rPr>
          <w:rFonts w:ascii="Arial" w:hAnsi="Arial" w:cs="Arial"/>
          <w:b/>
          <w:sz w:val="20"/>
          <w:lang w:val="en-US"/>
        </w:rPr>
        <w:t>Import</w:t>
      </w:r>
      <w:r w:rsidR="00B9525F">
        <w:rPr>
          <w:rFonts w:ascii="Arial" w:hAnsi="Arial" w:cs="Arial"/>
          <w:sz w:val="20"/>
          <w:lang w:val="en-US"/>
        </w:rPr>
        <w:t xml:space="preserve"> increased</w:t>
      </w:r>
      <w:r w:rsidRPr="00685BEB">
        <w:rPr>
          <w:rFonts w:ascii="Arial" w:hAnsi="Arial" w:cs="Arial"/>
          <w:sz w:val="20"/>
          <w:lang w:val="en-US"/>
        </w:rPr>
        <w:t xml:space="preserve"> too (257 million euro, plus 5.3 percent over 2021), driving the </w:t>
      </w:r>
      <w:r w:rsidRPr="00685BEB">
        <w:rPr>
          <w:rFonts w:ascii="Arial" w:hAnsi="Arial" w:cs="Arial"/>
          <w:b/>
          <w:sz w:val="20"/>
          <w:lang w:val="en-US"/>
        </w:rPr>
        <w:t>trade balance</w:t>
      </w:r>
      <w:r w:rsidRPr="00685BEB">
        <w:rPr>
          <w:rFonts w:ascii="Arial" w:hAnsi="Arial" w:cs="Arial"/>
          <w:sz w:val="20"/>
          <w:lang w:val="en-US"/>
        </w:rPr>
        <w:t xml:space="preserve"> to a positive result by 1.5 billion euro, more or less the same value as in 2021, with a 0.2 percent increase.</w:t>
      </w:r>
    </w:p>
    <w:p w14:paraId="74235EC4" w14:textId="77777777" w:rsidR="00FE501D" w:rsidRPr="00B245FB" w:rsidRDefault="00FE501D" w:rsidP="002E14A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GB"/>
        </w:rPr>
      </w:pPr>
    </w:p>
    <w:p w14:paraId="7E898117" w14:textId="155799CF" w:rsidR="001C40F9" w:rsidRPr="00B245FB" w:rsidRDefault="00C53603" w:rsidP="00C53603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GB"/>
        </w:rPr>
      </w:pPr>
      <w:r w:rsidRPr="00685BEB">
        <w:rPr>
          <w:rFonts w:ascii="Arial" w:hAnsi="Arial" w:cs="Arial"/>
          <w:b/>
          <w:sz w:val="20"/>
          <w:lang w:val="en-US"/>
        </w:rPr>
        <w:t>Apparent consumption</w:t>
      </w:r>
      <w:r w:rsidRPr="00685BEB">
        <w:rPr>
          <w:rFonts w:ascii="Arial" w:hAnsi="Arial" w:cs="Arial"/>
          <w:sz w:val="20"/>
          <w:lang w:val="en-US"/>
        </w:rPr>
        <w:t xml:space="preserve"> in Italy amounted to 1.146 billion euro, up by 10.8 percent compared to last year.</w:t>
      </w:r>
    </w:p>
    <w:p w14:paraId="54F67F2C" w14:textId="77777777" w:rsidR="00FE501D" w:rsidRPr="00B245FB" w:rsidRDefault="00FE501D" w:rsidP="002E14A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GB"/>
        </w:rPr>
      </w:pPr>
    </w:p>
    <w:p w14:paraId="0F79A84F" w14:textId="3023809A" w:rsidR="00FE501D" w:rsidRPr="00B245FB" w:rsidRDefault="00C53603" w:rsidP="00C53603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GB"/>
        </w:rPr>
      </w:pPr>
      <w:r w:rsidRPr="00685BEB">
        <w:rPr>
          <w:rFonts w:ascii="Arial" w:hAnsi="Arial" w:cs="Arial"/>
          <w:sz w:val="20"/>
          <w:lang w:val="en-US"/>
        </w:rPr>
        <w:t>The figures are clear: in 2022, the industry companies have replicated the successful results of the past two years, though with a slightly lower growth rate.</w:t>
      </w:r>
      <w:r w:rsidR="003C34B2" w:rsidRPr="00B245FB">
        <w:rPr>
          <w:rFonts w:ascii="Arial" w:hAnsi="Arial" w:cs="Arial"/>
          <w:color w:val="000000" w:themeColor="text1"/>
          <w:sz w:val="20"/>
          <w:lang w:val="en-GB"/>
        </w:rPr>
        <w:t xml:space="preserve"> </w:t>
      </w:r>
      <w:r w:rsidRPr="00685BEB">
        <w:rPr>
          <w:rFonts w:ascii="Arial" w:hAnsi="Arial" w:cs="Arial"/>
          <w:sz w:val="20"/>
          <w:lang w:val="en-US"/>
        </w:rPr>
        <w:t>Actually, it would have been impossible to do better, because – as often mentioned – the term of comparison is the record year 2021, and because in 2022 the effects of the pandemic were aggravated by a very complex situation, the Russian invasion in Ukraine, soaring energy prices, the closure of many markets, and the enduring difficulty to provision components and raw materials.</w:t>
      </w:r>
    </w:p>
    <w:p w14:paraId="1066C440" w14:textId="63CA3E56" w:rsidR="00220A02" w:rsidRPr="00B245FB" w:rsidRDefault="00C53603" w:rsidP="00C53603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GB"/>
        </w:rPr>
      </w:pPr>
      <w:r w:rsidRPr="00685BEB">
        <w:rPr>
          <w:rFonts w:ascii="Arial" w:hAnsi="Arial" w:cs="Arial"/>
          <w:sz w:val="20"/>
          <w:lang w:val="en-US"/>
        </w:rPr>
        <w:t>These elements had a stronger impact in the final quarter of 2022, with results that negatively affected the end-of-year balance.</w:t>
      </w:r>
    </w:p>
    <w:p w14:paraId="48774FC3" w14:textId="143C749D" w:rsidR="0003297A" w:rsidRPr="00B245FB" w:rsidRDefault="00C53603" w:rsidP="00A33624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GB"/>
        </w:rPr>
      </w:pPr>
      <w:r w:rsidRPr="00685BEB">
        <w:rPr>
          <w:rFonts w:ascii="Arial" w:hAnsi="Arial" w:cs="Arial"/>
          <w:sz w:val="20"/>
          <w:lang w:val="en-US"/>
        </w:rPr>
        <w:t>However</w:t>
      </w:r>
      <w:r w:rsidR="00A33624" w:rsidRPr="00685BEB">
        <w:rPr>
          <w:rFonts w:ascii="Arial" w:hAnsi="Arial" w:cs="Arial"/>
          <w:sz w:val="20"/>
          <w:lang w:val="en-US"/>
        </w:rPr>
        <w:t>, the Italian “client companies” maintained a sustained investment flow, supported by strong incentives from the central authorities, which helped them renovate their equipment fleet.</w:t>
      </w:r>
    </w:p>
    <w:p w14:paraId="1E3DBF33" w14:textId="77777777" w:rsidR="00A92CC1" w:rsidRPr="00B245FB" w:rsidRDefault="00A92CC1" w:rsidP="002E14A5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GB"/>
        </w:rPr>
      </w:pPr>
    </w:p>
    <w:p w14:paraId="4E494CA7" w14:textId="0FA1AC04" w:rsidR="00A92CC1" w:rsidRPr="00B245FB" w:rsidRDefault="00A33624" w:rsidP="00B346E9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  <w:lang w:val="en-GB"/>
        </w:rPr>
      </w:pPr>
      <w:r w:rsidRPr="00685BEB">
        <w:rPr>
          <w:rFonts w:ascii="Arial" w:hAnsi="Arial" w:cs="Arial"/>
          <w:sz w:val="20"/>
          <w:lang w:val="en-US"/>
        </w:rPr>
        <w:t xml:space="preserve">Right now, it is harder than ever to make forecasts for </w:t>
      </w:r>
      <w:r w:rsidRPr="00685BEB">
        <w:rPr>
          <w:rFonts w:ascii="Arial" w:hAnsi="Arial" w:cs="Arial"/>
          <w:b/>
          <w:sz w:val="20"/>
          <w:lang w:val="en-US"/>
        </w:rPr>
        <w:t>2023</w:t>
      </w:r>
      <w:r w:rsidRPr="00685BEB">
        <w:rPr>
          <w:rFonts w:ascii="Arial" w:hAnsi="Arial" w:cs="Arial"/>
          <w:sz w:val="20"/>
          <w:lang w:val="en-US"/>
        </w:rPr>
        <w:t>: the well-known global challenges, the overall economic situation that does not seem to support family spending</w:t>
      </w:r>
      <w:r w:rsidR="00B346E9" w:rsidRPr="00685BEB">
        <w:rPr>
          <w:rFonts w:ascii="Arial" w:hAnsi="Arial" w:cs="Arial"/>
          <w:sz w:val="20"/>
          <w:lang w:val="en-US"/>
        </w:rPr>
        <w:t xml:space="preserve"> or new mortgages for home buying or renovation, and the strong technological renovation carried out by companies in recent years, certainly suggest cautious optimism</w:t>
      </w:r>
      <w:r w:rsidRPr="00685BEB">
        <w:rPr>
          <w:rFonts w:ascii="Arial" w:hAnsi="Arial" w:cs="Arial"/>
          <w:sz w:val="20"/>
          <w:lang w:val="en-US"/>
        </w:rPr>
        <w:t xml:space="preserve">, </w:t>
      </w:r>
      <w:r w:rsidR="00B346E9" w:rsidRPr="00685BEB">
        <w:rPr>
          <w:rFonts w:ascii="Arial" w:hAnsi="Arial" w:cs="Arial"/>
          <w:sz w:val="20"/>
          <w:lang w:val="en-US"/>
        </w:rPr>
        <w:t xml:space="preserve">which might translate into </w:t>
      </w:r>
      <w:r w:rsidRPr="00685BEB">
        <w:rPr>
          <w:rFonts w:ascii="Arial" w:hAnsi="Arial" w:cs="Arial"/>
          <w:sz w:val="20"/>
          <w:lang w:val="en-US"/>
        </w:rPr>
        <w:t xml:space="preserve">a </w:t>
      </w:r>
      <w:r w:rsidR="00B346E9" w:rsidRPr="00685BEB">
        <w:rPr>
          <w:rFonts w:ascii="Arial" w:hAnsi="Arial" w:cs="Arial"/>
          <w:b/>
          <w:sz w:val="20"/>
          <w:lang w:val="en-US"/>
        </w:rPr>
        <w:t>substantial confirmation</w:t>
      </w:r>
      <w:r w:rsidRPr="00685BEB">
        <w:rPr>
          <w:rFonts w:ascii="Arial" w:hAnsi="Arial" w:cs="Arial"/>
          <w:sz w:val="20"/>
          <w:lang w:val="en-US"/>
        </w:rPr>
        <w:t xml:space="preserve"> </w:t>
      </w:r>
      <w:r w:rsidR="00B346E9" w:rsidRPr="00685BEB">
        <w:rPr>
          <w:rFonts w:ascii="Arial" w:hAnsi="Arial" w:cs="Arial"/>
          <w:sz w:val="20"/>
          <w:lang w:val="en-US"/>
        </w:rPr>
        <w:t>of the levels achieved this year</w:t>
      </w:r>
      <w:r w:rsidRPr="00685BEB">
        <w:rPr>
          <w:rFonts w:ascii="Arial" w:hAnsi="Arial" w:cs="Arial"/>
          <w:sz w:val="20"/>
          <w:lang w:val="en-US"/>
        </w:rPr>
        <w:t>.</w:t>
      </w:r>
    </w:p>
    <w:p w14:paraId="456C21B6" w14:textId="77777777" w:rsidR="005E61EF" w:rsidRPr="00B245FB" w:rsidRDefault="005E61EF" w:rsidP="005E61EF">
      <w:pPr>
        <w:adjustRightInd w:val="0"/>
        <w:snapToGrid w:val="0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p w14:paraId="0BDFEB82" w14:textId="77777777" w:rsidR="00663C99" w:rsidRPr="00B245FB" w:rsidRDefault="00663C99" w:rsidP="00AF183E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lang w:val="en-GB"/>
        </w:rPr>
      </w:pPr>
    </w:p>
    <w:p w14:paraId="7890008D" w14:textId="77777777" w:rsidR="005A336D" w:rsidRPr="00B245FB" w:rsidRDefault="005A336D" w:rsidP="00AF183E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sz w:val="20"/>
          <w:lang w:val="en-GB"/>
        </w:rPr>
      </w:pPr>
    </w:p>
    <w:p w14:paraId="106E4F0F" w14:textId="77777777" w:rsidR="00AF183E" w:rsidRPr="00B245FB" w:rsidRDefault="00AF183E" w:rsidP="00F92442">
      <w:pPr>
        <w:rPr>
          <w:rFonts w:ascii="Arial" w:hAnsi="Arial" w:cs="Arial"/>
          <w:sz w:val="20"/>
          <w:lang w:val="en-GB"/>
        </w:rPr>
      </w:pPr>
    </w:p>
    <w:p w14:paraId="72DB9CEE" w14:textId="1B63B1E2" w:rsidR="00AF183E" w:rsidRPr="00B346E9" w:rsidRDefault="00B346E9" w:rsidP="00B346E9">
      <w:pPr>
        <w:tabs>
          <w:tab w:val="left" w:pos="2977"/>
          <w:tab w:val="left" w:pos="5670"/>
          <w:tab w:val="left" w:pos="6663"/>
        </w:tabs>
        <w:ind w:left="426"/>
        <w:jc w:val="both"/>
        <w:rPr>
          <w:rFonts w:ascii="Arial" w:hAnsi="Arial"/>
          <w:i/>
          <w:sz w:val="20"/>
        </w:rPr>
      </w:pPr>
      <w:r w:rsidRPr="00685BEB">
        <w:rPr>
          <w:rFonts w:ascii="Arial" w:hAnsi="Arial"/>
          <w:i/>
          <w:sz w:val="20"/>
          <w:lang w:val="en-US"/>
        </w:rPr>
        <w:t>For more information:</w:t>
      </w:r>
    </w:p>
    <w:p w14:paraId="6E205649" w14:textId="77777777" w:rsidR="00AF183E" w:rsidRPr="00FD434E" w:rsidRDefault="00AF183E" w:rsidP="00AF183E">
      <w:pPr>
        <w:tabs>
          <w:tab w:val="left" w:pos="567"/>
        </w:tabs>
        <w:ind w:left="426"/>
        <w:jc w:val="both"/>
        <w:outlineLvl w:val="0"/>
        <w:rPr>
          <w:rFonts w:ascii="Arial" w:hAnsi="Arial"/>
          <w:b/>
          <w:sz w:val="20"/>
        </w:rPr>
      </w:pPr>
      <w:r w:rsidRPr="00FD434E">
        <w:rPr>
          <w:rFonts w:ascii="Arial" w:hAnsi="Arial"/>
          <w:b/>
          <w:sz w:val="20"/>
        </w:rPr>
        <w:t>Luca Rossetti</w:t>
      </w:r>
    </w:p>
    <w:p w14:paraId="1E22B546" w14:textId="2DBC3005" w:rsidR="00FD434E" w:rsidRPr="00FD434E" w:rsidRDefault="00AF183E" w:rsidP="00AF183E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sz w:val="20"/>
        </w:rPr>
      </w:pPr>
      <w:r w:rsidRPr="00FD434E">
        <w:rPr>
          <w:rFonts w:ascii="Arial" w:hAnsi="Arial"/>
          <w:sz w:val="20"/>
        </w:rPr>
        <w:t xml:space="preserve">+39 351 9098189 - </w:t>
      </w:r>
      <w:hyperlink r:id="rId8" w:history="1">
        <w:r w:rsidRPr="00AF183E">
          <w:rPr>
            <w:rStyle w:val="Collegamentoipertestuale"/>
            <w:rFonts w:ascii="Arial" w:hAnsi="Arial"/>
            <w:color w:val="auto"/>
            <w:sz w:val="20"/>
            <w:u w:val="none"/>
          </w:rPr>
          <w:t>press@acimall.com</w:t>
        </w:r>
      </w:hyperlink>
    </w:p>
    <w:sectPr w:rsidR="00FD434E" w:rsidRPr="00FD434E" w:rsidSect="00AF183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113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89B6" w14:textId="77777777" w:rsidR="00220A02" w:rsidRDefault="00220A02">
      <w:r>
        <w:separator/>
      </w:r>
    </w:p>
  </w:endnote>
  <w:endnote w:type="continuationSeparator" w:id="0">
    <w:p w14:paraId="624BDF43" w14:textId="77777777" w:rsidR="00220A02" w:rsidRDefault="0022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5BF6" w14:textId="77777777" w:rsidR="00220A02" w:rsidRDefault="00220A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220A02" w:rsidRDefault="00220A0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5DE1" w14:textId="77777777" w:rsidR="00220A02" w:rsidRDefault="00220A02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220A02" w:rsidRDefault="00220A02">
    <w:pPr>
      <w:pStyle w:val="Pidipagina"/>
      <w:ind w:right="360"/>
    </w:pPr>
    <w:r>
      <w:t xml:space="preserve">   </w:t>
    </w:r>
  </w:p>
  <w:p w14:paraId="676EE327" w14:textId="196C1161" w:rsidR="00220A02" w:rsidRDefault="00220A02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B1D6" w14:textId="77777777" w:rsidR="00220A02" w:rsidRDefault="00220A02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91CB" w14:textId="77777777" w:rsidR="00220A02" w:rsidRDefault="00220A02">
      <w:r>
        <w:separator/>
      </w:r>
    </w:p>
  </w:footnote>
  <w:footnote w:type="continuationSeparator" w:id="0">
    <w:p w14:paraId="002749D3" w14:textId="77777777" w:rsidR="00220A02" w:rsidRDefault="00220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CE48" w14:textId="6DC56FCB" w:rsidR="00220A02" w:rsidRDefault="00220A02">
    <w:pPr>
      <w:pStyle w:val="Intestazione"/>
      <w:ind w:left="360"/>
    </w:pPr>
  </w:p>
  <w:p w14:paraId="302658E1" w14:textId="77777777" w:rsidR="00220A02" w:rsidRDefault="00220A02">
    <w:pPr>
      <w:pStyle w:val="Intestazione"/>
      <w:ind w:left="360"/>
    </w:pPr>
  </w:p>
  <w:p w14:paraId="4A2C7678" w14:textId="77777777" w:rsidR="00220A02" w:rsidRDefault="00220A02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B4B7" w14:textId="39D9834C" w:rsidR="00220A02" w:rsidRDefault="00220A02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7089908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1497574234">
    <w:abstractNumId w:val="2"/>
  </w:num>
  <w:num w:numId="3" w16cid:durableId="87873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539F"/>
    <w:rsid w:val="0001721B"/>
    <w:rsid w:val="0003297A"/>
    <w:rsid w:val="00087FD9"/>
    <w:rsid w:val="00095C56"/>
    <w:rsid w:val="000A33AA"/>
    <w:rsid w:val="000B731F"/>
    <w:rsid w:val="000C05B7"/>
    <w:rsid w:val="000C2E18"/>
    <w:rsid w:val="000C2F82"/>
    <w:rsid w:val="000C4AD3"/>
    <w:rsid w:val="000C5C5F"/>
    <w:rsid w:val="000D6860"/>
    <w:rsid w:val="000E417A"/>
    <w:rsid w:val="000E4BEE"/>
    <w:rsid w:val="000E661F"/>
    <w:rsid w:val="000E7459"/>
    <w:rsid w:val="000F4C0F"/>
    <w:rsid w:val="00104F31"/>
    <w:rsid w:val="001258BE"/>
    <w:rsid w:val="00130D7E"/>
    <w:rsid w:val="00140D22"/>
    <w:rsid w:val="00142024"/>
    <w:rsid w:val="001670C8"/>
    <w:rsid w:val="001702AD"/>
    <w:rsid w:val="0017075B"/>
    <w:rsid w:val="00174464"/>
    <w:rsid w:val="0018053C"/>
    <w:rsid w:val="001812CA"/>
    <w:rsid w:val="00181DE3"/>
    <w:rsid w:val="001956B8"/>
    <w:rsid w:val="001A615F"/>
    <w:rsid w:val="001B28A8"/>
    <w:rsid w:val="001B415A"/>
    <w:rsid w:val="001B424B"/>
    <w:rsid w:val="001B57D7"/>
    <w:rsid w:val="001C40F9"/>
    <w:rsid w:val="001C421C"/>
    <w:rsid w:val="001D79A8"/>
    <w:rsid w:val="001E067F"/>
    <w:rsid w:val="001E6154"/>
    <w:rsid w:val="001E72A3"/>
    <w:rsid w:val="001F0D52"/>
    <w:rsid w:val="001F51B2"/>
    <w:rsid w:val="002042B0"/>
    <w:rsid w:val="00207FBA"/>
    <w:rsid w:val="00210CF8"/>
    <w:rsid w:val="002178A4"/>
    <w:rsid w:val="00220A02"/>
    <w:rsid w:val="00224AB3"/>
    <w:rsid w:val="00232B02"/>
    <w:rsid w:val="00243255"/>
    <w:rsid w:val="002545BF"/>
    <w:rsid w:val="002632E5"/>
    <w:rsid w:val="002650C8"/>
    <w:rsid w:val="00272082"/>
    <w:rsid w:val="00277B4A"/>
    <w:rsid w:val="00286B70"/>
    <w:rsid w:val="00291DE3"/>
    <w:rsid w:val="00294EDD"/>
    <w:rsid w:val="002A632E"/>
    <w:rsid w:val="002A753A"/>
    <w:rsid w:val="002E14A5"/>
    <w:rsid w:val="002F11D9"/>
    <w:rsid w:val="002F5769"/>
    <w:rsid w:val="00304533"/>
    <w:rsid w:val="003056E4"/>
    <w:rsid w:val="00305B4C"/>
    <w:rsid w:val="00307139"/>
    <w:rsid w:val="00313979"/>
    <w:rsid w:val="00326C06"/>
    <w:rsid w:val="0034316E"/>
    <w:rsid w:val="00345C06"/>
    <w:rsid w:val="00345D05"/>
    <w:rsid w:val="00347155"/>
    <w:rsid w:val="00365C65"/>
    <w:rsid w:val="00366693"/>
    <w:rsid w:val="00366E20"/>
    <w:rsid w:val="00381921"/>
    <w:rsid w:val="003838AD"/>
    <w:rsid w:val="003A73F0"/>
    <w:rsid w:val="003B059D"/>
    <w:rsid w:val="003B109F"/>
    <w:rsid w:val="003C34B2"/>
    <w:rsid w:val="003D3CCC"/>
    <w:rsid w:val="003F1E14"/>
    <w:rsid w:val="003F371B"/>
    <w:rsid w:val="0040219C"/>
    <w:rsid w:val="0040679A"/>
    <w:rsid w:val="00406AB7"/>
    <w:rsid w:val="00416C21"/>
    <w:rsid w:val="00434C7E"/>
    <w:rsid w:val="00440FDD"/>
    <w:rsid w:val="004525E1"/>
    <w:rsid w:val="004559D3"/>
    <w:rsid w:val="00463561"/>
    <w:rsid w:val="00471328"/>
    <w:rsid w:val="004720FA"/>
    <w:rsid w:val="00496CD7"/>
    <w:rsid w:val="004B203B"/>
    <w:rsid w:val="004B3B06"/>
    <w:rsid w:val="004D1EEA"/>
    <w:rsid w:val="004E3E0D"/>
    <w:rsid w:val="004E3F45"/>
    <w:rsid w:val="004E619F"/>
    <w:rsid w:val="004E64E2"/>
    <w:rsid w:val="004F1C0F"/>
    <w:rsid w:val="00524EB0"/>
    <w:rsid w:val="00532AB7"/>
    <w:rsid w:val="00536329"/>
    <w:rsid w:val="00544E4C"/>
    <w:rsid w:val="00553F39"/>
    <w:rsid w:val="00556E60"/>
    <w:rsid w:val="00566630"/>
    <w:rsid w:val="00583DA9"/>
    <w:rsid w:val="00585084"/>
    <w:rsid w:val="00597E03"/>
    <w:rsid w:val="005A2C26"/>
    <w:rsid w:val="005A336D"/>
    <w:rsid w:val="005B514B"/>
    <w:rsid w:val="005C3375"/>
    <w:rsid w:val="005C788E"/>
    <w:rsid w:val="005D4C94"/>
    <w:rsid w:val="005D6503"/>
    <w:rsid w:val="005D6F46"/>
    <w:rsid w:val="005D7B5B"/>
    <w:rsid w:val="005E5302"/>
    <w:rsid w:val="005E61EF"/>
    <w:rsid w:val="005F3EEA"/>
    <w:rsid w:val="005F4DBC"/>
    <w:rsid w:val="005F5DB2"/>
    <w:rsid w:val="006351F3"/>
    <w:rsid w:val="0063567C"/>
    <w:rsid w:val="00635F6C"/>
    <w:rsid w:val="006377E8"/>
    <w:rsid w:val="0064368F"/>
    <w:rsid w:val="00663C99"/>
    <w:rsid w:val="0066775B"/>
    <w:rsid w:val="00671AAE"/>
    <w:rsid w:val="0068221D"/>
    <w:rsid w:val="006826C3"/>
    <w:rsid w:val="00683168"/>
    <w:rsid w:val="00685BEB"/>
    <w:rsid w:val="0069229C"/>
    <w:rsid w:val="006A64E2"/>
    <w:rsid w:val="006B1101"/>
    <w:rsid w:val="006C02B5"/>
    <w:rsid w:val="00705D68"/>
    <w:rsid w:val="007122E6"/>
    <w:rsid w:val="007125B4"/>
    <w:rsid w:val="00720B7D"/>
    <w:rsid w:val="00724BEA"/>
    <w:rsid w:val="00736007"/>
    <w:rsid w:val="007443A2"/>
    <w:rsid w:val="00756F57"/>
    <w:rsid w:val="00760EDC"/>
    <w:rsid w:val="007611D0"/>
    <w:rsid w:val="00773075"/>
    <w:rsid w:val="00782761"/>
    <w:rsid w:val="00786BB1"/>
    <w:rsid w:val="007936B8"/>
    <w:rsid w:val="007A3403"/>
    <w:rsid w:val="007A6D51"/>
    <w:rsid w:val="007B2DBD"/>
    <w:rsid w:val="007B3109"/>
    <w:rsid w:val="007B4E57"/>
    <w:rsid w:val="007B72D5"/>
    <w:rsid w:val="007D28CA"/>
    <w:rsid w:val="007D3E3A"/>
    <w:rsid w:val="007D429A"/>
    <w:rsid w:val="007E06BB"/>
    <w:rsid w:val="007E5480"/>
    <w:rsid w:val="00800F6A"/>
    <w:rsid w:val="0080513A"/>
    <w:rsid w:val="00807D67"/>
    <w:rsid w:val="00840088"/>
    <w:rsid w:val="008408C9"/>
    <w:rsid w:val="00840B4A"/>
    <w:rsid w:val="00865C7A"/>
    <w:rsid w:val="0087060B"/>
    <w:rsid w:val="0088052D"/>
    <w:rsid w:val="008850FB"/>
    <w:rsid w:val="00891675"/>
    <w:rsid w:val="008A336A"/>
    <w:rsid w:val="008A5509"/>
    <w:rsid w:val="008C261D"/>
    <w:rsid w:val="008C32CC"/>
    <w:rsid w:val="008C3ACA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10D67"/>
    <w:rsid w:val="00917407"/>
    <w:rsid w:val="009201D1"/>
    <w:rsid w:val="00927BEF"/>
    <w:rsid w:val="00932B59"/>
    <w:rsid w:val="00932BC6"/>
    <w:rsid w:val="00941E08"/>
    <w:rsid w:val="00946C6A"/>
    <w:rsid w:val="00947D81"/>
    <w:rsid w:val="00954142"/>
    <w:rsid w:val="00960785"/>
    <w:rsid w:val="009703DB"/>
    <w:rsid w:val="00972D3C"/>
    <w:rsid w:val="00975B1A"/>
    <w:rsid w:val="0097719C"/>
    <w:rsid w:val="00985C7E"/>
    <w:rsid w:val="00990459"/>
    <w:rsid w:val="00991CBC"/>
    <w:rsid w:val="00992E35"/>
    <w:rsid w:val="00993D0D"/>
    <w:rsid w:val="009C5B81"/>
    <w:rsid w:val="009C6F87"/>
    <w:rsid w:val="009D300B"/>
    <w:rsid w:val="009E5E5C"/>
    <w:rsid w:val="00A018A0"/>
    <w:rsid w:val="00A029E7"/>
    <w:rsid w:val="00A108DB"/>
    <w:rsid w:val="00A24050"/>
    <w:rsid w:val="00A24489"/>
    <w:rsid w:val="00A2581D"/>
    <w:rsid w:val="00A31A41"/>
    <w:rsid w:val="00A33624"/>
    <w:rsid w:val="00A60694"/>
    <w:rsid w:val="00A6631D"/>
    <w:rsid w:val="00A76779"/>
    <w:rsid w:val="00A86E2C"/>
    <w:rsid w:val="00A92CC1"/>
    <w:rsid w:val="00AB77FB"/>
    <w:rsid w:val="00AE006E"/>
    <w:rsid w:val="00AE1B9E"/>
    <w:rsid w:val="00AE51EF"/>
    <w:rsid w:val="00AF183E"/>
    <w:rsid w:val="00AF50EF"/>
    <w:rsid w:val="00B024BA"/>
    <w:rsid w:val="00B0713B"/>
    <w:rsid w:val="00B07D0B"/>
    <w:rsid w:val="00B245FB"/>
    <w:rsid w:val="00B329E2"/>
    <w:rsid w:val="00B33B48"/>
    <w:rsid w:val="00B33F4A"/>
    <w:rsid w:val="00B346E9"/>
    <w:rsid w:val="00B47656"/>
    <w:rsid w:val="00B50A3F"/>
    <w:rsid w:val="00B657A0"/>
    <w:rsid w:val="00B65A3E"/>
    <w:rsid w:val="00B72A34"/>
    <w:rsid w:val="00B7327C"/>
    <w:rsid w:val="00B77080"/>
    <w:rsid w:val="00B9525F"/>
    <w:rsid w:val="00B9584F"/>
    <w:rsid w:val="00BC3417"/>
    <w:rsid w:val="00BC547E"/>
    <w:rsid w:val="00BD40BD"/>
    <w:rsid w:val="00BD4D44"/>
    <w:rsid w:val="00BD4E9A"/>
    <w:rsid w:val="00BF2118"/>
    <w:rsid w:val="00BF35BC"/>
    <w:rsid w:val="00C04852"/>
    <w:rsid w:val="00C07008"/>
    <w:rsid w:val="00C10DE6"/>
    <w:rsid w:val="00C12950"/>
    <w:rsid w:val="00C313EC"/>
    <w:rsid w:val="00C3679E"/>
    <w:rsid w:val="00C41993"/>
    <w:rsid w:val="00C42262"/>
    <w:rsid w:val="00C435AF"/>
    <w:rsid w:val="00C441DA"/>
    <w:rsid w:val="00C53603"/>
    <w:rsid w:val="00C54EF3"/>
    <w:rsid w:val="00C55169"/>
    <w:rsid w:val="00C60722"/>
    <w:rsid w:val="00C639FC"/>
    <w:rsid w:val="00C91D54"/>
    <w:rsid w:val="00C95A53"/>
    <w:rsid w:val="00C96A6C"/>
    <w:rsid w:val="00CB70B1"/>
    <w:rsid w:val="00CD4C1D"/>
    <w:rsid w:val="00CE45E5"/>
    <w:rsid w:val="00CE4D8E"/>
    <w:rsid w:val="00CE6324"/>
    <w:rsid w:val="00CE7C6D"/>
    <w:rsid w:val="00CF0739"/>
    <w:rsid w:val="00D0397B"/>
    <w:rsid w:val="00D04850"/>
    <w:rsid w:val="00D0677A"/>
    <w:rsid w:val="00D10A5D"/>
    <w:rsid w:val="00D16C13"/>
    <w:rsid w:val="00D21030"/>
    <w:rsid w:val="00D32BC8"/>
    <w:rsid w:val="00D42442"/>
    <w:rsid w:val="00D47E18"/>
    <w:rsid w:val="00D7134F"/>
    <w:rsid w:val="00D91B3F"/>
    <w:rsid w:val="00DB7438"/>
    <w:rsid w:val="00DC53CF"/>
    <w:rsid w:val="00DD038E"/>
    <w:rsid w:val="00DD2A47"/>
    <w:rsid w:val="00DE3BC7"/>
    <w:rsid w:val="00DE3DFA"/>
    <w:rsid w:val="00DF2A1E"/>
    <w:rsid w:val="00E04E31"/>
    <w:rsid w:val="00E07556"/>
    <w:rsid w:val="00E12D44"/>
    <w:rsid w:val="00E2671D"/>
    <w:rsid w:val="00E26F68"/>
    <w:rsid w:val="00E452B2"/>
    <w:rsid w:val="00E6024D"/>
    <w:rsid w:val="00E60591"/>
    <w:rsid w:val="00E65415"/>
    <w:rsid w:val="00E655B9"/>
    <w:rsid w:val="00E66C6E"/>
    <w:rsid w:val="00E731E4"/>
    <w:rsid w:val="00EA05AD"/>
    <w:rsid w:val="00ED118D"/>
    <w:rsid w:val="00EF3187"/>
    <w:rsid w:val="00F00863"/>
    <w:rsid w:val="00F01932"/>
    <w:rsid w:val="00F10A96"/>
    <w:rsid w:val="00F15D95"/>
    <w:rsid w:val="00F259BE"/>
    <w:rsid w:val="00F30178"/>
    <w:rsid w:val="00F3539D"/>
    <w:rsid w:val="00F379D8"/>
    <w:rsid w:val="00F42561"/>
    <w:rsid w:val="00F50033"/>
    <w:rsid w:val="00F51E5D"/>
    <w:rsid w:val="00F64584"/>
    <w:rsid w:val="00F76DF4"/>
    <w:rsid w:val="00F92442"/>
    <w:rsid w:val="00FA3FD5"/>
    <w:rsid w:val="00FB5D0B"/>
    <w:rsid w:val="00FB6B5A"/>
    <w:rsid w:val="00FC53D2"/>
    <w:rsid w:val="00FD02C0"/>
    <w:rsid w:val="00FD043C"/>
    <w:rsid w:val="00FD434E"/>
    <w:rsid w:val="00FE501D"/>
    <w:rsid w:val="00FE5091"/>
    <w:rsid w:val="00FF2E86"/>
    <w:rsid w:val="00FF3313"/>
    <w:rsid w:val="00FF7E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62284E42"/>
  <w15:docId w15:val="{CC9CF185-E1FA-4635-B4B4-5788E624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2662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2022-12-14T10:43:00Z</cp:lastPrinted>
  <dcterms:created xsi:type="dcterms:W3CDTF">2022-12-15T11:28:00Z</dcterms:created>
  <dcterms:modified xsi:type="dcterms:W3CDTF">2022-12-15T11:28:00Z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